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16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>
            <w:pPr>
              <w:spacing w:after="0"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2024г.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     «____»_________________2024г.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Рабочая  программа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 учебному предмету «Окружающий природный мир»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для обучающихся 4 класса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hint="default"/>
          <w:b/>
          <w:sz w:val="28"/>
          <w:szCs w:val="28"/>
          <w:lang w:val="ru-RU"/>
        </w:rPr>
        <w:t>с нарушением интеллекта с РАС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на 2024 – 2025учебный год.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Ответственный 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spacing w:after="0" w:line="240" w:lineRule="auto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Статенина Т.Н.,</w:t>
      </w: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Учитель Вк.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Рассмотрено и одобрено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заседании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от 28.08.2024г.  протокол  № 7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г. Ульяновск, 2024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>
      <w:pPr>
        <w:spacing w:line="240" w:lineRule="auto"/>
        <w:contextualSpacing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        ПОЯСНИТЕЛЬНАЯ ЗАПИСКА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                           Рабочая программа по учебному предмету «Окружающий природный мир» из образовательной области «Естествознание»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spacing w:line="240" w:lineRule="auto"/>
        <w:ind w:left="720"/>
        <w:jc w:val="both"/>
        <w:rPr>
          <w:rFonts w:ascii="Times New Roman" w:hAnsi="Times New Roman" w:cs="Times New Roman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изучения предмета</w:t>
      </w:r>
      <w:r>
        <w:rPr>
          <w:rFonts w:ascii="Times New Roman" w:hAnsi="Times New Roman" w:cs="Times New Roman"/>
          <w:sz w:val="24"/>
          <w:szCs w:val="24"/>
        </w:rPr>
        <w:t>: формирование представлений о живой и неживой природе, о взаимодействии человека с природой, бережного отношения к природе.</w:t>
      </w:r>
    </w:p>
    <w:p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формирование целостной картины мира и осознание места в нём человека на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основе единства рационально-научного познания и эмоционально-ценностного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осмысления ребёнком личного опыта общения с людьми и природой;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формирование бережного отношения к богатствам природы и общества,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навыков экологически и нравственно обоснованного поведения в природной 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социальной среде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духовно-нравственное развитие и воспитание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личности.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Учебный курс «Окружающий природный мир» занимает особое место среди учебных предметов начальной школы. Образно говоря, это то, что «всегда с тобой»,поскольку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начатая на уроках, продолжалась в той или иной форме и после их окончания, вовнеурочной деятельности. В программе выделяются следующие основные задачи: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формировать первоначальные представления о природе, объектах и явлениях живой 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неживой природы;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вызывать интерес к разнообразию окружающего мира (мира животных, растений, к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явлениям природы);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создавать условия для возникновения речевой активности детей и использования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усвоенного речевого материала в быту, на уроках-занятиях, в играх, в самообслуживании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 в повседневной жизни;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обеспечивать необходимую мотивацию речи посредством создания ситуаций общения,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поддерживать стремление к общению;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воспитывать отношение к сверстнику как объекту взаимодействия, развивать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субъектно- объектные отношения;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формировать и расширять словарный запас, связанный с содержанием эмоционального,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бытового, предметного, игрового, трудового опыта;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учить задавать вопросы, строить простейшие сообщения и побуждения (то есть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пользоваться различными типами коммуникативных высказываний);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знакомить с функциональными свойствами объектов в процессе наблюдения 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практического экспериментирования;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формировать представления о явлениях природы, сезонных и суточных изменениях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(лето, осень, зима, весна, день, ночь);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формировать элементарные экологические представления (люди, растения 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животные; строение тела, способ передвижения, питание);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развивать сенсорно-перцептивные способности учащихся: учить выделять знакомые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объекты из фона зрительно, тактильно и на вкус (исходя из целесообразности 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безопасности);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закреплять полученные представления в процессе различных видов доступной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учащимся социально-бытовой деятельности.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«Окружающий природный мир» в учебном плане</w:t>
      </w:r>
    </w:p>
    <w:p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 </w:t>
      </w:r>
      <w:r>
        <w:rPr>
          <w:rFonts w:ascii="Times New Roman" w:hAnsi="Times New Roman" w:cs="Times New Roman"/>
          <w:sz w:val="24"/>
          <w:szCs w:val="24"/>
        </w:rPr>
        <w:t xml:space="preserve">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(вариант 8.4) учебный предмет «Окружающий природный мир» является обязательным учебным предметом предметной области «Естествознание».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предмета в учебном плане.</w:t>
      </w:r>
    </w:p>
    <w:p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«Окружающий природный мир»  проводится в 4 классе – 2 часа в неделю,68 часов в год.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Личностные и предметные результаты освоения учебного предмета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Личностные планируемые результаты: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Физические характеристики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персональной идентификации: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определяет свои внешние данные (цвет глаз, волос, рост и т.д.);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определяет состояние своего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здоровья;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Гендерная идентичность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определяет свою половую принадлежность (без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обоснования);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- Возрастная идентификация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определяет свою возрастную группу (ребенок, подросток, юноша);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проявляет уважение к людям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старшего возраста.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«Уверенность в себе»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осознает, что может, а что ему пока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не удается;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«Чувства, желания, взгляды»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понимает эмоциональные состояния других людей;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понимает язык эмоций (позы, мимика, жесты и т.д.);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проявляет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собственные чувства;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 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«Социальные навыки»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умеет устанавливать и поддерживать контакты;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умеет кооперироваться и сотрудничать;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избегает конфликтных ситуаций;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пользуется речевыми и жестовыми формами взаимодействия для установления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контактов, разрешения конфликтов;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использует элементарные формы речевого этикета;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принимает доброжелательные шутки в свой адрес;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охотно участвует в совместной деятельности (сюжетно-ролевых играх, инсценировках,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хоровом пении, танцах и др., в создании совместных панно, рисунков, аппликаций,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конструкций и поделок и т. п.);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Мотивационно - личностный блок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испытывает потребность в новых знаниях (на начальном уровне)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стремится помогать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окружающим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Биологический уровень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сообщает о дискомфорте, вызванном внешними факторами (температурный режим,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освещение и. т.д.)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сообщает об изменениях в организме (заболевание, ограниченность некоторых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функций и т.д.) Осознает себя в следующих социальных ролях: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семейно - бытовых;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Развитие мотивов учебной деятельности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проявляет мотивацию благополучия (желает заслужить одобрение, получить хорошие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отметки); Ответственность за собственное здоровье, безопасность и жизнь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осознает, что определенные его действия несут опасность для него;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Ответственность за собственные вещи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осознает ответственность, связанную с сохранностью его вещей: одежды, игрушек,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мебели в собственной комнате;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Экологическая ответственность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не мусорит на улице;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не ломает деревья;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Формирование эстетических потребностей, ценностей, чувств: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воспринимает и наблюдает за окружающими предметами и явлениями, рассматривает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или прослушивает произведений искусства;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принимает участие в коллективных делах и играх;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принимать и оказывать помощь.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Планируемые предметные результаты: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узнавать изученные объекты и явления неживой и живой природы;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сравнивать объекты живой и неживой природы на основе внешних признаков или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известных характерных свойств и проводить простейшую классификацию изученных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объектов природы;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использовать различные источники для получения разного рода информации, опираясь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 сохранные анализаторы;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понимать необходимость соблюдения правил безопасного поведения на улице, в лесу;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контролировать и оценивать учебные действия в процессе познания окружающего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мира в соответствии с поставленной задачей и условиями её реализации;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осознавать свою неразрывную связь с природой;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проявлять уважение и готовность выполнять совместно установленные договорённости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 правила, в том числе правила общения со взрослыми и сверстниками участвовать в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коллективной коммуникативной деятельности;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• определять общую цель в совместной деятельности и пути её достижения,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договариваться о распределении функций и ролей, осуществлять взаимный контроль в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совместной деятельности, адекватно оценивать собственное поведение и поведение окружающих.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учебного предмета.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Объекты природы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Игры с природными материалами как средство развития ручных умений.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Действия с водой, песком, глиной, растениями и их частями, плодами (шишки), камешками и др. природными материалами.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Варианты действий: погружение рук в материал, ощупывание, захват, удержание, отпускание, перекладывание, пересыпание, переливание. Создание полисенсорного образа природного объекта.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Развитие интереса к природным объектам. Исследование природных объектов с использованием различных анализаторов (тактильный, зрительный, слуховой и др.). Узнавание природного объекта.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Растительный мир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Представления о явлениях и объектах неживой природы. Узнавание (различение) деревьев (берёза, дуб, клён, ель,). Узнавание (различение) лиственных и хвойных деревьев. Знание значения деревьев в природе и жизни человека. Узнавание (различение) фруктов (яблоко, банан, лимон, апельсин, груша, слива)по внешнему виду (вкусу, запаху).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Различение и называние овощей: моркови и картофеля, помидоров и огурцов , а так же фруктов: яблока, банана, лимона. Различение сада и огорода, сравнение и показ по картинкам.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Продуктивная деятельность в процессе взаимодействия с окружающей средой. Сбор природного материала, знакомство с его свойствами. Выполнение игрушек из природного материала, подбор деталей игрушки, сборка больших игрушек из деталей, заготовленных учащимися.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Животный мир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Представления о животном мире, их значении в жизни человека.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Знание строения животного (голова, туловище, шерсть, лапы, хвост, ноги, копыта, рога). Знание основных признаков животного. Узнавание (различение) домашних животных (корова, свинья, кот, собака). Знание питания домашних животных. Объединение животных в группу «домашние животные». Узнавание (различение) диких животных (лиса, медведь). Знание питания диких животных. Объединение диких животных в группу «дикие животные».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Календарно-тематический план по предмету «Окружающий природный мир» в 4 классе</w:t>
      </w:r>
    </w:p>
    <w:tbl>
      <w:tblPr>
        <w:tblStyle w:val="11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2276"/>
        <w:gridCol w:w="780"/>
        <w:gridCol w:w="1424"/>
        <w:gridCol w:w="505"/>
        <w:gridCol w:w="1161"/>
        <w:gridCol w:w="943"/>
        <w:gridCol w:w="950"/>
        <w:gridCol w:w="1183"/>
        <w:gridCol w:w="984"/>
        <w:gridCol w:w="1233"/>
        <w:gridCol w:w="923"/>
        <w:gridCol w:w="1178"/>
        <w:gridCol w:w="476"/>
        <w:gridCol w:w="805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276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урока</w:t>
            </w:r>
          </w:p>
        </w:tc>
        <w:tc>
          <w:tcPr>
            <w:tcW w:w="780" w:type="dxa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383" w:type="dxa"/>
            <w:gridSpan w:val="8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281" w:type="dxa"/>
            <w:gridSpan w:val="2"/>
            <w:vMerge w:val="restart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Личностные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 w:val="continue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Приветствие (вытянуть и согнуть руки).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Прощание (пальцы в стороны). Привлечение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внимания, учащегося к предметам в комнате.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вопросы, 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Выполнение простых подражательных движений за учителем «Делай вместе» (движения рук, кистей).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растений (дерево, куст, трава).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фруктов (яблоко, банан, апельсин, груша) по внешнему виду (вкусу, запаху).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Различение съедобных и несъедобных частей фрукта.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овощей (лук, картофель, морковь) по внешнему виду (вкусу, запаху).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Осень. Рассматривание картин.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домашних животных (корова, свинья, лошадь, кот, собака).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Учитывать правило в планировании и контроле способа решения.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домашних животных (котенок, щенок).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диких животных (лиса, заяц, волк, медведь).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задавать вопросы.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диких животных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(волчонок, лисенок, медвежонок).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домашних птиц (курица (петух), утка).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детенышей домашних птиц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(цыпленок, утенок).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Зима. Что бывает зимой?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Активизировать процессы припоминания.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необходимые для сотрудничества с партнёром.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действия по образцу.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Солнце. Узнавание Солнца в природе и на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картинках. Луна. Узнавание Луны. Лес.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леса.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Вода. Знакомство со свойствами воды. Узнавание воды. Река. Узнавание реки. Огонь. Узнавание огня. Знакомство со свойствами огня. Правила обращения с огнем.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добывать новые знания,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частей суток (утро, день, вечер, ночь).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Представление о сутках как о последовательности</w:t>
            </w:r>
          </w:p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(утро, день, вечер, ночь).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Весна. Март, апрель, май – весенние месяцы.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добывать новые знания,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задание от начала до конца.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Природа в апреле. Соотнесение частей суток с видами деятельности.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основ в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аккуратности, усидчивости, прилежности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Различение выходных и рабочих дней.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инструкции учителя.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бережливости и экономии при использовании природных ресурсов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Представление о годе как о последовательности сезонов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ответственного отношения к природе во всех видах деятельности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явлений природы (дождь, снегопад, листопад, гроза, радуга, туман, гром, ветер).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Активизировать процессы припоминания.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 них умений обобщать причины однородных явлений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задавать вопросы необходимые для сотрудничества с партнёром.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действия по образцу.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чувства сопричастности к историческому прошлому Родины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Природа в мае. Мир насекомых.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учебные действия в материализованной форме.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Воспитание любви к природе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Повторение. Живая и неживая природа.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29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0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13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21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выполнять задание с заданными качественными параметрами.</w:t>
            </w:r>
          </w:p>
        </w:tc>
        <w:tc>
          <w:tcPr>
            <w:tcW w:w="2101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Развитие культуры эстетического восприятия окружающего мира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7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>
            <w:pPr>
              <w:spacing w:after="15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80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68</w:t>
            </w:r>
          </w:p>
        </w:tc>
        <w:tc>
          <w:tcPr>
            <w:tcW w:w="1424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gridSpan w:val="2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-компьютерные обучающие игры (например, «Лунтик познает мир»)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натуральные объекты (игрушки, одежда), муляжи, макеты. Разрезные карточки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"Мир животных" -Домашние животные -Дикие животные России -Животные жарких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стран -Животные холодных широт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"Мир человека": -Продукты питания -Посуда -Мебель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-Одежда и обувь -Игрушки -Транспорт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- "Мир растений": -Фрукты –Овощи</w:t>
      </w:r>
    </w:p>
    <w:p>
      <w:pPr>
        <w:shd w:val="clear" w:color="auto" w:fill="FFFFFF"/>
        <w:spacing w:after="150" w:line="240" w:lineRule="auto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1. Баряева Л.Б., Логинова Е.Т., Лопатина Л.В. Знакомимся с окружающим миром. -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М.: Дрофа, 2007-2008.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2. Воспитание и обучение детей и подростков с тяжелыми и множественными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нарушениями развития: программно-методические материалы / Под ред. И.М.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Бгажноковой. - М.: Просвещение, 2007.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3. Комплект примерных рабочих программ для 4 класса по отдельным учебным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предметам и коррекционным курсам для обучающихся с </w:t>
      </w:r>
      <w:bookmarkStart w:id="0" w:name="_GoBack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умств</w:t>
      </w:r>
      <w:bookmarkEnd w:id="0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енной отсталостью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(интеллектуальной недостаточностью). ФГОС ОВЗ - М.: Издательство «Просвещение»,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2017, 1407 с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4. Маллер А.Р., Цикото Г.В. «Воспитание и обучение детей с тяжелой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интеллектуальной недостаточностью». М., «Академия», 2003 год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5. «Программа образования учащихся с умеренной и тяжёлой умственной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отсталостью» под ред. Л. Б. Баряевой и Н. Н. Яковлевой (СПб, 2011).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6. Царёв А.М., Рудакова Е.А., Сухарева О.Ю. Дети с тяжелыми и множественными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нарушениями развития /Дошкольное воспитание и обучение детей с комплексными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нарушениями / под. Ред. Л.А.Головчиц: учебное пособие.- М., Логомаг, 2015. - 266 с.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7. Шипицина Л.М. «Необучаемый» ребенок в семье и обществе». Социализация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детей с нарушением интеллекта. С-Петербург, «Речь», 2005 год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Шипицына, Л.М. Развитие навыков общения у детей с умеренной и тяжелой умственной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отсталостью / Л.В. Шипицина. - Санкт-Петербург.Речь,2004г.-354с</w:t>
      </w:r>
    </w:p>
    <w:p>
      <w:pPr>
        <w:shd w:val="clear" w:color="auto" w:fill="FFFFFF"/>
        <w:spacing w:after="15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pStyle w:val="14"/>
        <w:numPr>
          <w:ilvl w:val="0"/>
          <w:numId w:val="2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обучающимис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я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планируемы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Содержание мониторинга достижений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планируемых предметных результатов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Текущая</w:t>
      </w:r>
      <w:r>
        <w:rPr>
          <w:rFonts w:ascii="Times New Roman" w:hAnsi="Times New Roman" w:cs="Times New Roman"/>
          <w:sz w:val="24"/>
          <w:szCs w:val="24"/>
        </w:rP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Годовая</w:t>
      </w:r>
      <w:r>
        <w:rPr>
          <w:rFonts w:ascii="Times New Roman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жит анализ результатов обучения ребёнка, динамика развития его личности.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</w:t>
      </w:r>
      <w:r>
        <w:rPr>
          <w:rFonts w:ascii="Times New Roman" w:hAnsi="Times New Roman" w:cs="Times New Roman"/>
          <w:i/>
          <w:sz w:val="24"/>
          <w:szCs w:val="24"/>
        </w:rPr>
        <w:softHyphen/>
      </w:r>
      <w:r>
        <w:rPr>
          <w:rFonts w:ascii="Times New Roman" w:hAnsi="Times New Roman" w:cs="Times New Roman"/>
          <w:i/>
          <w:sz w:val="24"/>
          <w:szCs w:val="24"/>
        </w:rPr>
        <w:t>зультаты анализа</w:t>
      </w:r>
      <w:r>
        <w:rPr>
          <w:rFonts w:ascii="Times New Roman" w:hAnsi="Times New Roman" w:cs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hAnsi="Times New Roman" w:cs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При оценке результативности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Оценка выявленных результатов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hAnsi="Times New Roman" w:cs="Times New Roman"/>
          <w:bCs/>
          <w:sz w:val="24"/>
          <w:szCs w:val="24"/>
        </w:rPr>
        <w:softHyphen/>
      </w:r>
      <w:r>
        <w:rPr>
          <w:rFonts w:ascii="Times New Roman" w:hAnsi="Times New Roman" w:cs="Times New Roman"/>
          <w:bCs/>
          <w:sz w:val="24"/>
          <w:szCs w:val="24"/>
        </w:rPr>
        <w:t>зуль</w:t>
      </w:r>
      <w:r>
        <w:rPr>
          <w:rFonts w:ascii="Times New Roman" w:hAnsi="Times New Roman" w:cs="Times New Roman"/>
          <w:bCs/>
          <w:sz w:val="24"/>
          <w:szCs w:val="24"/>
        </w:rPr>
        <w:softHyphen/>
      </w:r>
      <w:r>
        <w:rPr>
          <w:rFonts w:ascii="Times New Roman" w:hAnsi="Times New Roman" w:cs="Times New Roman"/>
          <w:bCs/>
          <w:sz w:val="24"/>
          <w:szCs w:val="24"/>
        </w:rPr>
        <w:t>таты анализа представлены в форме удобных и понятных всем  условных единицах:</w:t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064"/>
        <w:gridCol w:w="4875"/>
      </w:tblGrid>
      <w:t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9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line="240" w:lineRule="auto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b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3F3F3F" w:themeColor="text1" w:themeTint="BF"/>
          <w:sz w:val="24"/>
          <w:szCs w:val="24"/>
        </w:rPr>
        <w:t xml:space="preserve">                               Содержание мониторинга </w:t>
      </w:r>
      <w:r>
        <w:rPr>
          <w:rFonts w:ascii="Times New Roman" w:hAnsi="Times New Roman" w:eastAsia="Calibri" w:cs="Times New Roman"/>
          <w:b/>
          <w:color w:val="3F3F3F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Результаты оценки сформированности базовых учебных действий за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но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сят</w:t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softHyphen/>
      </w:r>
      <w:r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  <w:t>ся в индивидуальную карту развития обучающегося.</w:t>
      </w:r>
    </w:p>
    <w:p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</w:pPr>
      <w:r>
        <w:rPr>
          <w:rFonts w:ascii="Times New Roman" w:hAnsi="Times New Roman" w:eastAsia="Calibri" w:cs="Times New Roman"/>
          <w:bCs/>
          <w:color w:val="3F3F3F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Calibri" w:cs="Times New Roman"/>
          <w:i/>
          <w:color w:val="3F3F3F" w:themeColor="text1" w:themeTint="BF"/>
          <w:sz w:val="24"/>
          <w:szCs w:val="24"/>
        </w:rPr>
      </w:pPr>
    </w:p>
    <w:p>
      <w:pPr>
        <w:spacing w:line="240" w:lineRule="auto"/>
        <w:contextualSpacing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Критерии и нормы оценки знаний обучающихся.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Оценивание устного ответа обучающихся.</w:t>
      </w:r>
    </w:p>
    <w:p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 </w:t>
      </w:r>
      <w:r>
        <w:rPr>
          <w:rFonts w:ascii="Times New Roman" w:hAnsi="Times New Roman" w:cs="Times New Roman"/>
          <w:sz w:val="24"/>
          <w:szCs w:val="24"/>
        </w:rP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грустит»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pPr w:leftFromText="180" w:rightFromText="180" w:vertAnchor="text" w:horzAnchor="margin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10343"/>
        <w:gridCol w:w="1929"/>
        <w:gridCol w:w="1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МОНИТОРИНГ РЕЗУЛЬТАТОВ ОСВОЕНИЯ УЧЕБНОГО ПРЕДМЕТА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9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п/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</w:t>
            </w:r>
          </w:p>
        </w:tc>
        <w:tc>
          <w:tcPr>
            <w:tcW w:w="10199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tabs>
                <w:tab w:val="left" w:pos="1275"/>
              </w:tabs>
              <w:spacing w:after="0" w:line="240" w:lineRule="auto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Сроки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9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0199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СГ</w:t>
            </w: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личностные результаты</w:t>
            </w:r>
          </w:p>
        </w:tc>
        <w:tc>
          <w:tcPr>
            <w:tcW w:w="383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7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Способность замечать и запоминать происходящее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радоваться происходящим событиям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контакт, общаться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8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8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ind w:firstLine="567"/>
              <w:contextualSpacing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9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занятиях;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0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деятельность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0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Желание взаимодействовать.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0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к самостоятельным действиям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0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9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9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color w:val="0070C0"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color w:val="0070C0"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contextualSpacing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СВОДНАЯ ТАБЛИЦА </w:t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</w:p>
    <w:tbl>
      <w:tblPr>
        <w:tblStyle w:val="11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right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4"/>
              <w:numPr>
                <w:ilvl w:val="0"/>
                <w:numId w:val="12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</w:rPr>
            </w:pPr>
          </w:p>
        </w:tc>
      </w:tr>
    </w:tbl>
    <w:p>
      <w:pPr>
        <w:spacing w:line="240" w:lineRule="auto"/>
        <w:ind w:firstLine="567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sz w:val="24"/>
          <w:szCs w:val="24"/>
        </w:rPr>
        <w:t>СГ – середина года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КГ – конец года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МУ – минимальный уровень</w:t>
      </w:r>
    </w:p>
    <w:p>
      <w:pPr>
        <w:spacing w:line="240" w:lineRule="auto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ДУ – достаточный уровень</w:t>
      </w:r>
    </w:p>
    <w:p>
      <w:pPr>
        <w:tabs>
          <w:tab w:val="left" w:pos="702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720" w:right="720" w:bottom="720" w:left="720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A3B3F"/>
    <w:multiLevelType w:val="multilevel"/>
    <w:tmpl w:val="0E0A3B3F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6AC045E"/>
    <w:multiLevelType w:val="multilevel"/>
    <w:tmpl w:val="16AC045E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2">
    <w:nsid w:val="18971FB2"/>
    <w:multiLevelType w:val="multilevel"/>
    <w:tmpl w:val="18971FB2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E0E6D7D"/>
    <w:multiLevelType w:val="multilevel"/>
    <w:tmpl w:val="3E0E6D7D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94D36DB"/>
    <w:multiLevelType w:val="multilevel"/>
    <w:tmpl w:val="594D36DB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9EF6E8D"/>
    <w:multiLevelType w:val="multilevel"/>
    <w:tmpl w:val="59EF6E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4CA39E5"/>
    <w:multiLevelType w:val="multilevel"/>
    <w:tmpl w:val="74CA39E5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70F3DB6"/>
    <w:multiLevelType w:val="multilevel"/>
    <w:tmpl w:val="770F3DB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7"/>
    <w:lvlOverride w:ilvl="0">
      <w:startOverride w:val="1"/>
    </w:lvlOverride>
  </w:num>
  <w:num w:numId="8">
    <w:abstractNumId w:val="7"/>
  </w:num>
  <w:num w:numId="9">
    <w:abstractNumId w:val="5"/>
    <w:lvlOverride w:ilvl="0">
      <w:startOverride w:val="1"/>
    </w:lvlOverride>
  </w:num>
  <w:num w:numId="10">
    <w:abstractNumId w:val="5"/>
  </w:num>
  <w:num w:numId="11">
    <w:abstractNumId w:val="0"/>
    <w:lvlOverride w:ilvl="0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74F5E"/>
    <w:rsid w:val="002769D5"/>
    <w:rsid w:val="002E1F60"/>
    <w:rsid w:val="004D3362"/>
    <w:rsid w:val="00910C90"/>
    <w:rsid w:val="00B8619C"/>
    <w:rsid w:val="00BA6DB2"/>
    <w:rsid w:val="00C95CE5"/>
    <w:rsid w:val="00E74F5E"/>
    <w:rsid w:val="7EFDE458"/>
    <w:rsid w:val="EFE7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Body Text"/>
    <w:basedOn w:val="1"/>
    <w:qFormat/>
    <w:uiPriority w:val="0"/>
    <w:pPr>
      <w:spacing w:after="140"/>
    </w:pPr>
  </w:style>
  <w:style w:type="paragraph" w:styleId="8">
    <w:name w:val="index heading"/>
    <w:basedOn w:val="1"/>
    <w:next w:val="6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9">
    <w:name w:val="List"/>
    <w:basedOn w:val="7"/>
    <w:uiPriority w:val="0"/>
    <w:rPr>
      <w:rFonts w:ascii="PT Astra Serif" w:hAnsi="PT Astra Serif" w:cs="Noto Sans Devanagari"/>
    </w:rPr>
  </w:style>
  <w:style w:type="paragraph" w:styleId="10">
    <w:name w:val="Normal (Web)"/>
    <w:basedOn w:val="1"/>
    <w:unhideWhenUsed/>
    <w:qFormat/>
    <w:uiPriority w:val="99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3">
    <w:name w:val="Заголовок"/>
    <w:basedOn w:val="1"/>
    <w:next w:val="7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4">
    <w:name w:val="List Paragraph"/>
    <w:basedOn w:val="1"/>
    <w:qFormat/>
    <w:uiPriority w:val="34"/>
    <w:pPr>
      <w:spacing w:after="0" w:line="360" w:lineRule="auto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customStyle="1" w:styleId="15">
    <w:name w:val="Содержимое врезки"/>
    <w:basedOn w:val="1"/>
    <w:qFormat/>
    <w:uiPriority w:val="0"/>
  </w:style>
  <w:style w:type="table" w:customStyle="1" w:styleId="16">
    <w:name w:val="Сетка таблицы1"/>
    <w:basedOn w:val="3"/>
    <w:uiPriority w:val="0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16</Pages>
  <Words>4751</Words>
  <Characters>27082</Characters>
  <Lines>225</Lines>
  <Paragraphs>63</Paragraphs>
  <TotalTime>1</TotalTime>
  <ScaleCrop>false</ScaleCrop>
  <LinksUpToDate>false</LinksUpToDate>
  <CharactersWithSpaces>31770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2022-09-11T00:05:00Z</dcterms:created>
  <dc:creator>ASUS</dc:creator>
  <cp:lastModifiedBy>admin23</cp:lastModifiedBy>
  <cp:lastPrinted>2022-09-27T22:24:00Z</cp:lastPrinted>
  <dcterms:modified xsi:type="dcterms:W3CDTF">2024-10-01T10:49:04Z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