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00"/>
        <w:rPr>
          <w:rFonts w:eastAsia="" w:eastAsiaTheme="minorEastAsia"/>
        </w:rPr>
      </w:pPr>
      <w:r>
        <w:rPr>
          <w:b/>
          <w:bCs/>
          <w:kern w:val="2"/>
          <w:lang w:eastAsia="ar-SA"/>
        </w:rPr>
        <w:t xml:space="preserve">                                                         </w:t>
      </w:r>
      <w:r>
        <w:rPr>
          <w:rFonts w:eastAsia="Calibri"/>
        </w:rPr>
        <w:t>Областное государственное казённое общеобразовательное учреждение</w:t>
      </w:r>
    </w:p>
    <w:p>
      <w:pPr>
        <w:pStyle w:val="Normal"/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pStyle w:val="Normal"/>
        <w:jc w:val="center"/>
        <w:rPr/>
      </w:pPr>
      <w:r>
        <w:rPr/>
      </w:r>
    </w:p>
    <w:tbl>
      <w:tblPr>
        <w:tblStyle w:val="3"/>
        <w:tblpPr w:bottomFromText="0" w:horzAnchor="margin" w:leftFromText="180" w:rightFromText="180" w:tblpX="0" w:tblpXSpec="center" w:tblpY="173" w:topFromText="0" w:vertAnchor="text"/>
        <w:tblW w:w="150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230"/>
        <w:gridCol w:w="7799"/>
      </w:tblGrid>
      <w:tr>
        <w:trPr/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«____»_______________2024г.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       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УТВЕРЖДАЮ: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     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Директор школы: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__________И.Н. Дейкова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 xml:space="preserve">          </w:t>
            </w:r>
            <w:r>
              <w:rPr>
                <w:rFonts w:eastAsia="" w:eastAsiaTheme="minorEastAsia"/>
                <w:kern w:val="0"/>
                <w:sz w:val="24"/>
                <w:szCs w:val="24"/>
                <w:lang w:val="ru-RU" w:bidi="ar-SA"/>
              </w:rPr>
              <w:t>«____»_________________2024г.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" w:eastAsiaTheme="minorEastAsia"/>
                <w:sz w:val="24"/>
                <w:szCs w:val="24"/>
              </w:rPr>
            </w:pPr>
            <w:r>
              <w:rPr>
                <w:rFonts w:eastAsia="" w:eastAsiaTheme="minorEastAsia"/>
                <w:sz w:val="22"/>
                <w:szCs w:val="24"/>
              </w:rPr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«Человек»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«Окружающий мир»)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обучающихся 1 доп Г(1 год обучения)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2024 – 2025 учебный год.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/>
      </w:pPr>
      <w:r>
        <w:rPr/>
        <w:t xml:space="preserve">      </w:t>
      </w:r>
      <w:r>
        <w:rPr/>
        <w:t xml:space="preserve">Ответственный </w:t>
      </w:r>
    </w:p>
    <w:p>
      <w:pPr>
        <w:pStyle w:val="Normal"/>
        <w:jc w:val="right"/>
        <w:rPr/>
      </w:pPr>
      <w:r>
        <w:rPr/>
        <w:t xml:space="preserve">за реализацию программы: </w:t>
      </w:r>
    </w:p>
    <w:p>
      <w:pPr>
        <w:pStyle w:val="Normal"/>
        <w:jc w:val="right"/>
        <w:rPr>
          <w:rFonts w:ascii="Calibri" w:hAnsi="Calibri"/>
        </w:rPr>
      </w:pPr>
      <w:r>
        <w:rPr/>
        <w:t>Лопатина Г.Р.,</w:t>
      </w:r>
    </w:p>
    <w:p>
      <w:pPr>
        <w:pStyle w:val="Normal"/>
        <w:jc w:val="right"/>
        <w:rPr/>
      </w:pPr>
      <w:r>
        <w:rPr/>
        <w:t>Учитель  1к.</w:t>
      </w:r>
    </w:p>
    <w:p>
      <w:pPr>
        <w:pStyle w:val="Normal"/>
        <w:rPr/>
      </w:pPr>
      <w:r>
        <w:rPr/>
        <w:t>Рассмотрено и одобрено</w:t>
      </w:r>
    </w:p>
    <w:p>
      <w:pPr>
        <w:pStyle w:val="Normal"/>
        <w:rPr/>
      </w:pPr>
      <w:r>
        <w:rPr/>
        <w:t>на заседании</w:t>
      </w:r>
    </w:p>
    <w:p>
      <w:pPr>
        <w:pStyle w:val="Normal"/>
        <w:rPr/>
      </w:pPr>
      <w:r>
        <w:rPr/>
        <w:t xml:space="preserve">Педагогического совета </w:t>
      </w:r>
    </w:p>
    <w:p>
      <w:pPr>
        <w:pStyle w:val="Normal"/>
        <w:rPr/>
      </w:pPr>
      <w:r>
        <w:rPr/>
        <w:t>от 28.08.2024 г.  протокол  № 7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/>
        <w:t>г. Ульяновск, 2024</w:t>
      </w:r>
    </w:p>
    <w:p>
      <w:pPr>
        <w:pStyle w:val="Normal"/>
        <w:suppressAutoHyphens w:val="true"/>
        <w:spacing w:before="0" w:after="0"/>
        <w:contextualSpacing/>
        <w:rPr>
          <w:b/>
          <w:b/>
          <w:bCs/>
          <w:kern w:val="2"/>
          <w:lang w:eastAsia="ar-SA"/>
        </w:rPr>
      </w:pPr>
      <w:r>
        <w:rPr>
          <w:rFonts w:eastAsia="" w:eastAsiaTheme="minorEastAsia"/>
        </w:rPr>
        <w:t xml:space="preserve">                                                                </w:t>
      </w:r>
    </w:p>
    <w:p>
      <w:pPr>
        <w:pStyle w:val="Normal"/>
        <w:suppressAutoHyphens w:val="true"/>
        <w:spacing w:before="0" w:after="0"/>
        <w:contextualSpacing/>
        <w:rPr>
          <w:b/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</w:r>
    </w:p>
    <w:p>
      <w:pPr>
        <w:pStyle w:val="Normal"/>
        <w:suppressAutoHyphens w:val="true"/>
        <w:spacing w:before="0" w:after="0"/>
        <w:contextualSpacing/>
        <w:rPr>
          <w:b/>
          <w:b/>
          <w:bCs/>
          <w:kern w:val="2"/>
          <w:lang w:eastAsia="ar-SA"/>
        </w:rPr>
      </w:pPr>
      <w:bookmarkStart w:id="0" w:name="_GoBack"/>
      <w:bookmarkEnd w:id="0"/>
      <w:r>
        <w:rPr>
          <w:rFonts w:eastAsia="" w:eastAsiaTheme="minorEastAsia"/>
          <w:b/>
          <w:bCs/>
          <w:kern w:val="2"/>
          <w:lang w:eastAsia="ar-SA"/>
        </w:rPr>
        <w:t xml:space="preserve">                                                             </w:t>
      </w:r>
      <w:r>
        <w:rPr>
          <w:b/>
          <w:bCs/>
          <w:kern w:val="2"/>
          <w:lang w:eastAsia="ar-SA"/>
        </w:rPr>
        <w:t>ПОЯСНИТЕЛЬНАЯ ЗАПИСКА</w:t>
      </w:r>
    </w:p>
    <w:p>
      <w:pPr>
        <w:pStyle w:val="Normal"/>
        <w:suppressAutoHyphens w:val="true"/>
        <w:spacing w:before="0" w:after="0"/>
        <w:contextualSpacing/>
        <w:jc w:val="center"/>
        <w:rPr>
          <w:b/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</w:r>
    </w:p>
    <w:p>
      <w:pPr>
        <w:pStyle w:val="Normal"/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</w:t>
      </w:r>
      <w:r>
        <w:rPr>
          <w:kern w:val="2"/>
          <w:lang w:eastAsia="ar-SA"/>
        </w:rPr>
        <w:t>Рабочая программа по учебному предмету «Человек» из образовательной области «Окружающий мир» в 1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/>
        </w:rPr>
        <w:t>При составлении программы учитывались возрастные и психофизиологические особенности обучающегося,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Содержание программы </w:t>
      </w:r>
      <w:r>
        <w:rPr>
          <w:rFonts w:cs="Times New Roman"/>
          <w:bCs/>
        </w:rPr>
        <w:t>по учебному предмету «Человек»</w:t>
      </w:r>
      <w:r>
        <w:rPr>
          <w:rFonts w:cs="Times New Roman"/>
        </w:rPr>
        <w:t xml:space="preserve">  для обучения школьника  с ОВЗ сформировано на основе принципов: психолого - педагогического процесса и коррекционной направленности обучения и воспитания;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/>
          <w:bCs/>
          <w:iCs/>
        </w:rPr>
        <w:t>Специальная индивидуальная программа развития  предполагает возможность реализации актуальных в настоящее время компетентностного, личностно–ориентированного, деятельностного  подходов, которые определяют цели и задачи.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SimSun" w:cs="Times New Roman"/>
          <w:lang w:eastAsia="ru-RU"/>
        </w:rPr>
      </w:pPr>
      <w:r>
        <w:rPr>
          <w:rFonts w:eastAsia="SimSun" w:cs="Times New Roman"/>
          <w:b/>
          <w:lang w:eastAsia="ru-RU"/>
        </w:rPr>
        <w:t xml:space="preserve">Цель обучения: </w:t>
      </w:r>
      <w:r>
        <w:rPr>
          <w:rFonts w:eastAsia="Times New Roman" w:cs="Times New Roman"/>
          <w:lang w:eastAsia="ru-RU"/>
        </w:rPr>
        <w:t>формирование представления о себе самом и ближайшем окружении</w:t>
      </w:r>
      <w:r>
        <w:rPr>
          <w:rFonts w:eastAsia="SimSun" w:cs="Times New Roman"/>
          <w:lang w:eastAsia="ru-RU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SimSun" w:cs="Times New Roman"/>
          <w:b/>
          <w:b/>
          <w:lang w:eastAsia="ru-RU"/>
        </w:rPr>
      </w:pPr>
      <w:r>
        <w:rPr>
          <w:rFonts w:eastAsia="SimSun" w:cs="Times New Roman"/>
          <w:b/>
          <w:lang w:eastAsia="ru-RU"/>
        </w:rPr>
        <w:t xml:space="preserve">Задачи  изучения: 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567" w:hanging="0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/>
          <w:bCs/>
          <w:iCs/>
        </w:rPr>
        <w:t xml:space="preserve">формирование элементарных познаний </w:t>
      </w:r>
      <w:r>
        <w:rPr>
          <w:rFonts w:eastAsia="Times New Roman" w:cs="Times New Roman"/>
          <w:bCs/>
          <w:iCs/>
        </w:rPr>
        <w:t xml:space="preserve">окружающего мира, смысла человеческих отношений, осознания </w:t>
      </w:r>
      <w:r>
        <w:rPr>
          <w:rFonts w:cs="Times New Roman"/>
          <w:bCs/>
          <w:iCs/>
        </w:rPr>
        <w:t>себя в системе социального мира;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567" w:hanging="0"/>
        <w:contextualSpacing/>
        <w:jc w:val="both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/>
          <w:bCs/>
          <w:iCs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</w:t>
      </w:r>
      <w:r>
        <w:rPr>
          <w:rFonts w:eastAsia="Times New Roman" w:cs="Times New Roman"/>
          <w:sz w:val="24"/>
          <w:szCs w:val="24"/>
          <w:lang w:eastAsia="ru-RU"/>
        </w:rPr>
        <w:tab/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567" w:hanging="0"/>
        <w:contextualSpacing/>
        <w:rPr>
          <w:rFonts w:ascii="Times New Roman" w:hAnsi="Times New Roman" w:eastAsia="Calibri" w:cs="Times New Roman"/>
        </w:rPr>
      </w:pPr>
      <w:r>
        <w:rPr>
          <w:rFonts w:eastAsia="Calibri" w:cs="Times New Roman"/>
        </w:rPr>
        <w:t>становление личности ребенка;</w:t>
      </w:r>
    </w:p>
    <w:p>
      <w:pPr>
        <w:pStyle w:val="Normal"/>
        <w:widowControl w:val="false"/>
        <w:numPr>
          <w:ilvl w:val="0"/>
          <w:numId w:val="10"/>
        </w:numPr>
        <w:spacing w:lineRule="auto" w:line="240" w:before="0" w:after="0"/>
        <w:ind w:left="567" w:hanging="0"/>
        <w:contextualSpacing/>
        <w:rPr>
          <w:rFonts w:ascii="Times New Roman" w:hAnsi="Times New Roman" w:eastAsia="Calibri" w:cs="Times New Roman"/>
        </w:rPr>
      </w:pPr>
      <w:r>
        <w:rPr>
          <w:rFonts w:eastAsia="Calibri" w:cs="Times New Roman"/>
        </w:rPr>
        <w:t>формирование понятия социальной природы «я» в процессе взаимодействия с другими людьми.</w:t>
      </w:r>
    </w:p>
    <w:p>
      <w:pPr>
        <w:pStyle w:val="Normal"/>
        <w:widowControl w:val="false"/>
        <w:spacing w:lineRule="auto" w:line="240" w:before="0" w:after="0"/>
        <w:ind w:left="567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spacing w:lineRule="auto" w:line="240" w:before="0" w:after="0"/>
        <w:ind w:left="720" w:hanging="0"/>
        <w:contextualSpacing/>
        <w:jc w:val="center"/>
        <w:rPr>
          <w:rFonts w:ascii="Times New Roman" w:hAnsi="Times New Roman" w:eastAsia="Calibri" w:cs="Times New Roman"/>
          <w:b/>
          <w:b/>
          <w:lang w:eastAsia="ru-RU"/>
        </w:rPr>
      </w:pPr>
      <w:r>
        <w:rPr>
          <w:rFonts w:eastAsia="Calibri" w:cs="Times New Roman"/>
          <w:b/>
          <w:lang w:eastAsia="ru-RU"/>
        </w:rPr>
        <w:t>Общая характеристика учебного предмета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Содержание обучения в рамках предмета «Человек» включает формирование представлений о себе как «Я» и своем ближайшем окружении и повышение уровня самостоятельности в процессе самообслуживания.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Программа представлена следующими разделами: «Представления о себе», «Семья», «Туалет», «Одевание и раздевание», «Прием пищи»,                «Гигиена тела»,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b/>
          <w:lang w:eastAsia="ru-RU"/>
        </w:rPr>
        <w:t>Раздел</w:t>
      </w:r>
      <w:r>
        <w:rPr>
          <w:rFonts w:eastAsia="Calibri" w:cs="Times New Roman"/>
          <w:lang w:eastAsia="ru-RU"/>
        </w:rPr>
        <w:t xml:space="preserve"> «Представления о себе» включает следующее содержание: представления о своем теле</w:t>
      </w:r>
      <w:r>
        <w:rPr>
          <w:rFonts w:eastAsia="Calibri" w:cs="Times New Roman"/>
          <w:shd w:fill="FFFFFF" w:val="clear"/>
          <w:lang w:eastAsia="ru-RU"/>
        </w:rPr>
        <w:t>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</w:t>
      </w:r>
      <w:r>
        <w:rPr>
          <w:rFonts w:eastAsia="Calibri" w:cs="Times New Roman"/>
          <w:lang w:eastAsia="ru-RU"/>
        </w:rPr>
        <w:br/>
      </w:r>
      <w:r>
        <w:rPr>
          <w:rFonts w:eastAsia="Calibri" w:cs="Times New Roman"/>
          <w:shd w:fill="FFFFFF" w:val="clear"/>
          <w:lang w:eastAsia="ru-RU"/>
        </w:rPr>
        <w:t xml:space="preserve">профилактика болезней), поведении, сохраняющем и укрепляющем здоровье, полезных и вредных привычках, </w:t>
      </w:r>
      <w:r>
        <w:rPr>
          <w:rFonts w:eastAsia="Calibri" w:cs="Times New Roman"/>
          <w:lang w:eastAsia="ru-RU"/>
        </w:rPr>
        <w:t>возрастных изменениях. Раздел«Гигиена тела»включает задачи по формированию умений умываться, мыться под душем, чистить зубы, мыть голову, стричь ногти, причесываться и т.д.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b/>
          <w:lang w:eastAsia="ru-RU"/>
        </w:rPr>
        <w:t>Раздел</w:t>
      </w:r>
      <w:r>
        <w:rPr>
          <w:rFonts w:eastAsia="Calibri" w:cs="Times New Roman"/>
          <w:lang w:eastAsia="ru-RU"/>
        </w:rPr>
        <w:t xml:space="preserve"> «Обращение с одеждой и обувью» включает задачи по формированию умений ориентироваться в одежде, соблюдать последовательность действий при одевании и снятии предметов одежды.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hd w:fill="FFFFFF" w:val="clear"/>
          <w:lang w:eastAsia="ru-RU"/>
        </w:rPr>
      </w:pPr>
      <w:r>
        <w:rPr>
          <w:rFonts w:eastAsia="Calibri" w:cs="Times New Roman"/>
          <w:b/>
          <w:lang w:eastAsia="ru-RU"/>
        </w:rPr>
        <w:t>Раздел</w:t>
      </w:r>
      <w:r>
        <w:rPr>
          <w:rFonts w:eastAsia="Calibri" w:cs="Times New Roman"/>
          <w:lang w:eastAsia="ru-RU"/>
        </w:rPr>
        <w:t xml:space="preserve"> «Прием пищи»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в  раздел «Туалет». В рамках раздела «Семья» предполагается формирование представлений о своем ближайшем окружении: членах семьи, взаимоотношениях между ними, семейных традициях. Ребенок учится </w:t>
      </w:r>
      <w:r>
        <w:rPr>
          <w:rFonts w:eastAsia="Calibri" w:cs="Times New Roman"/>
          <w:shd w:fill="FFFFFF" w:val="clear"/>
          <w:lang w:eastAsia="ru-RU"/>
        </w:rPr>
        <w:t xml:space="preserve">соблюдать правила и нормы культуры поведения и общения в семье. </w:t>
      </w:r>
      <w:r>
        <w:rPr>
          <w:rFonts w:eastAsia="Calibri" w:cs="Times New Roman"/>
          <w:lang w:eastAsia="ru-RU"/>
        </w:rPr>
        <w:t xml:space="preserve">Важно, чтобы </w:t>
      </w:r>
      <w:r>
        <w:rPr>
          <w:rFonts w:eastAsia="Calibri" w:cs="Times New Roman"/>
          <w:shd w:fill="FFFFFF" w:val="clear"/>
          <w:lang w:eastAsia="ru-RU"/>
        </w:rPr>
        <w:t>образцом культуры общения для ребенка являлось доброжелательное и заботливое отношение к  окружающим, спокойный приветливый тон. Р</w:t>
      </w:r>
      <w:r>
        <w:rPr>
          <w:rFonts w:eastAsia="Calibri" w:cs="Times New Roman"/>
          <w:lang w:eastAsia="ru-RU"/>
        </w:rPr>
        <w:t xml:space="preserve">ебенок учится </w:t>
      </w:r>
      <w:r>
        <w:rPr>
          <w:rFonts w:eastAsia="Calibri" w:cs="Times New Roman"/>
          <w:bCs/>
          <w:shd w:fill="FFFFFF" w:val="clear"/>
          <w:lang w:eastAsia="ru-RU"/>
        </w:rPr>
        <w:t>понимать окружающих людей, проявлять к ним внимание, общаться и взаимодействовать с ними.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Содержание разделов представлено с учетом возрастных особенностей. Большинство разделов включает задачи,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поэтапность в плане усложнения самих навыков. Например, формирование гигиенических навыков начинают с формирования умения мыть руки, лицо, чистить зубы. На последнем этапе обучения ребенок  учится принимать душ, мыть голову и т.д.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При формировании навыков самообслуживания важно объединять усилия учителя и родителей.  Работа, проводимая на занятиях, должна продолжаться родителями, для совершенствования навыков самообслуживания.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На занятиях используются 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девочки доступных представлений о ближайшем социальном окружении. По возможности, используются технические средства: компьютер,  и другое мультимедийное оборудование. 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Описание места учебного предмета, курса в учебном плане</w:t>
      </w:r>
    </w:p>
    <w:p>
      <w:pPr>
        <w:pStyle w:val="Normal"/>
        <w:spacing w:lineRule="auto" w:line="240" w:before="0" w:after="20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В 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На его изучение отведено 99 часов, 3 часа в неделю, 33 учебных недели.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eastAsia="Calibri" w:cs="Times New Roman"/>
          <w:sz w:val="20"/>
          <w:szCs w:val="20"/>
          <w:lang w:eastAsia="ru-RU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Описание ценностных ориентиров содержания  учебного предмета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u w:val="single"/>
          <w:lang w:eastAsia="ru-RU"/>
        </w:rPr>
      </w:pPr>
      <w:r>
        <w:rPr>
          <w:rFonts w:eastAsia="Times New Roman" w:cs="Times New Roman"/>
          <w:u w:val="single"/>
          <w:lang w:eastAsia="ru-RU"/>
        </w:rPr>
        <w:t>Познавательные  ценности</w:t>
      </w:r>
      <w:r>
        <w:rPr>
          <w:rFonts w:eastAsia="Times New Roman" w:cs="Times New Roman"/>
          <w:lang w:eastAsia="ru-RU"/>
        </w:rPr>
        <w:t>: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>
      <w:pPr>
        <w:pStyle w:val="Normal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bCs/>
          <w:u w:val="single"/>
          <w:lang w:eastAsia="ru-RU"/>
        </w:rPr>
        <w:t>Ценность добра</w:t>
      </w:r>
      <w:r>
        <w:rPr>
          <w:rFonts w:eastAsia="Times New Roman" w:cs="Times New Roman"/>
          <w:u w:val="single"/>
          <w:lang w:eastAsia="ru-RU"/>
        </w:rPr>
        <w:t>:</w:t>
      </w:r>
      <w:r>
        <w:rPr>
          <w:rFonts w:eastAsia="Times New Roman" w:cs="Times New Roman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u w:val="single"/>
          <w:lang w:eastAsia="ru-RU"/>
        </w:rPr>
        <w:t>Коммуникативные  ценности:</w:t>
      </w:r>
      <w:r>
        <w:rPr>
          <w:rFonts w:eastAsia="Times New Roman" w:cs="Times New Roman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bCs/>
          <w:u w:val="single"/>
          <w:lang w:eastAsia="ru-RU"/>
        </w:rPr>
        <w:t>Ценность человечества</w:t>
      </w:r>
      <w:r>
        <w:rPr>
          <w:rFonts w:eastAsia="Times New Roman" w:cs="Times New Roman"/>
          <w:u w:val="single"/>
          <w:lang w:eastAsia="ru-RU"/>
        </w:rPr>
        <w:t>:</w:t>
      </w:r>
      <w:r>
        <w:rPr>
          <w:rFonts w:eastAsia="Times New Roman" w:cs="Times New Roman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Требования к уровню подготовки обучающегося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Планируемые результаты освоения предмета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/>
        </w:rPr>
        <w:t xml:space="preserve">При изучении предмета </w:t>
      </w:r>
      <w:r>
        <w:rPr>
          <w:rFonts w:cs="Times New Roman"/>
          <w:b/>
          <w:bCs/>
        </w:rPr>
        <w:t>«</w:t>
      </w:r>
      <w:r>
        <w:rPr>
          <w:rFonts w:cs="Times New Roman"/>
        </w:rPr>
        <w:t>Человек</w:t>
      </w:r>
      <w:r>
        <w:rPr>
          <w:rFonts w:cs="Times New Roman"/>
          <w:bCs/>
        </w:rPr>
        <w:t>»</w:t>
      </w:r>
      <w:r>
        <w:rPr>
          <w:rFonts w:cs="Times New Roman"/>
        </w:rPr>
        <w:t xml:space="preserve"> у обучающейся должны быть сформированы следующие учебные действия  и ключевые компетенции: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В сфере </w:t>
      </w:r>
      <w:r>
        <w:rPr>
          <w:rFonts w:cs="Times New Roman"/>
          <w:b/>
        </w:rPr>
        <w:t>познавательных учебных</w:t>
      </w:r>
      <w:r>
        <w:rPr>
          <w:rFonts w:cs="Times New Roman"/>
        </w:rPr>
        <w:t xml:space="preserve"> действий должны быть </w:t>
      </w:r>
      <w:r>
        <w:rPr>
          <w:rFonts w:cs="Times New Roman"/>
          <w:lang w:val="en-US"/>
        </w:rPr>
        <w:t>c</w:t>
      </w:r>
      <w:r>
        <w:rPr>
          <w:rFonts w:cs="Times New Roman"/>
        </w:rPr>
        <w:t>формированы: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1) </w:t>
      </w:r>
      <w:r>
        <w:rPr>
          <w:rFonts w:eastAsia="Calibri" w:cs="Times New Roman"/>
          <w:i/>
          <w:lang w:eastAsia="ru-RU"/>
        </w:rPr>
        <w:t>Представление о себе как «Я», осознание общности и различий «Я» от других.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>соотнесение себя со своим именем, своим изображением на фотографии, отражением в зеркале.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lang w:eastAsia="ru-RU"/>
        </w:rPr>
        <w:t>представление о собственном</w:t>
      </w:r>
      <w:r>
        <w:rPr>
          <w:rFonts w:eastAsia="Calibri" w:cs="Times New Roman"/>
          <w:bCs/>
          <w:lang w:eastAsia="ru-RU"/>
        </w:rPr>
        <w:t xml:space="preserve"> теле</w:t>
      </w:r>
      <w:r>
        <w:rPr>
          <w:rFonts w:eastAsia="Calibri" w:cs="Times New Roman"/>
          <w:lang w:eastAsia="ru-RU"/>
        </w:rPr>
        <w:t>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>отнесение себя к определенному полу.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 xml:space="preserve">умение определять «моё» и «не моё», осознавать и выражать свои интересы, желания.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 xml:space="preserve">умение сообщать общие сведения о себе: имя, фамилия, возраст, пол, место жительства, интересы.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lang w:eastAsia="ru-RU"/>
        </w:rPr>
        <w:t>представления о возрастных изменениях человека, адекватное отношение к своим возрастным изменениям.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2) </w:t>
      </w:r>
      <w:r>
        <w:rPr>
          <w:rFonts w:eastAsia="Calibri" w:cs="Times New Roman"/>
          <w:i/>
          <w:lang w:eastAsia="ru-RU"/>
        </w:rPr>
        <w:t>Умение решать каждодневные жизненные задачи, связанные с удовлетворением первоочередных потребностей</w:t>
      </w:r>
      <w:r>
        <w:rPr>
          <w:rFonts w:eastAsia="Calibri" w:cs="Times New Roman"/>
          <w:lang w:eastAsia="ru-RU"/>
        </w:rPr>
        <w:t>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сообщать о своих потребностях и желаниях. 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i/>
          <w:lang w:eastAsia="ru-RU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>
        <w:rPr>
          <w:rFonts w:eastAsia="Calibri" w:cs="Times New Roman"/>
          <w:lang w:eastAsia="ru-RU"/>
        </w:rPr>
        <w:t xml:space="preserve">. 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следить за своим внешним видом. 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 w:eastAsia="Calibri" w:cs="Times New Roman"/>
          <w:i/>
          <w:i/>
          <w:lang w:eastAsia="ru-RU"/>
        </w:rPr>
      </w:pPr>
      <w:r>
        <w:rPr>
          <w:rFonts w:eastAsia="Calibri" w:cs="Times New Roman"/>
          <w:lang w:eastAsia="ru-RU"/>
        </w:rPr>
        <w:t>4)</w:t>
      </w:r>
      <w:r>
        <w:rPr>
          <w:rFonts w:eastAsia="Calibri" w:cs="Times New Roman"/>
          <w:i/>
          <w:lang w:eastAsia="ru-RU"/>
        </w:rPr>
        <w:t xml:space="preserve"> Представления о своей семье, взаимоотношениях в семье.</w:t>
      </w:r>
    </w:p>
    <w:p>
      <w:pPr>
        <w:pStyle w:val="Normal"/>
        <w:widowControl w:val="false"/>
        <w:tabs>
          <w:tab w:val="clear" w:pos="708"/>
          <w:tab w:val="left" w:pos="1160" w:leader="none"/>
        </w:tabs>
        <w:spacing w:lineRule="auto" w:line="24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ab/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</w:t>
      </w:r>
    </w:p>
    <w:p>
      <w:pPr>
        <w:pStyle w:val="Normal"/>
        <w:widowControl w:val="false"/>
        <w:overflowPunct w:val="true"/>
        <w:spacing w:lineRule="auto" w:line="240"/>
        <w:ind w:left="732" w:hanging="0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В сфере </w:t>
      </w:r>
      <w:r>
        <w:rPr>
          <w:rFonts w:cs="Times New Roman"/>
          <w:b/>
        </w:rPr>
        <w:t>личностных учебных   действий</w:t>
      </w:r>
      <w:r>
        <w:rPr>
          <w:rFonts w:cs="Times New Roman"/>
        </w:rPr>
        <w:t xml:space="preserve"> должны быть сформированы: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ориентация на понимание и принятие предложений и оценки учителя, родителей (социальные и коммуникативные компетенции);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eastAsia="Calibri" w:cs="Times New Roman"/>
          <w:sz w:val="20"/>
          <w:szCs w:val="20"/>
          <w:lang w:eastAsia="ru-RU"/>
        </w:rPr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В сфере </w:t>
      </w:r>
      <w:r>
        <w:rPr>
          <w:rFonts w:cs="Times New Roman"/>
          <w:b/>
        </w:rPr>
        <w:t>регулятивных учебных действий</w:t>
      </w:r>
      <w:r>
        <w:rPr>
          <w:rFonts w:cs="Times New Roman"/>
        </w:rPr>
        <w:t xml:space="preserve"> должны быть сформированы: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инструкции учителя (учебно-познавательные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действия по образцу и по подражанию (учебно-познавательные  и социальные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eastAsia="Calibri" w:cs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ind w:firstLine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     </w:t>
      </w:r>
      <w:r>
        <w:rPr>
          <w:rFonts w:eastAsia="Calibri" w:cs="Times New Roman"/>
          <w:lang w:eastAsia="ru-RU"/>
        </w:rPr>
        <w:t xml:space="preserve">В сфере </w:t>
      </w:r>
      <w:r>
        <w:rPr>
          <w:rFonts w:eastAsia="Calibri" w:cs="Times New Roman"/>
          <w:b/>
          <w:lang w:eastAsia="ru-RU"/>
        </w:rPr>
        <w:t>коммуникативных  учебных действий</w:t>
      </w:r>
      <w:r>
        <w:rPr>
          <w:rFonts w:eastAsia="Calibri" w:cs="Times New Roman"/>
          <w:lang w:eastAsia="ru-RU"/>
        </w:rPr>
        <w:t xml:space="preserve"> должны быть сформированы: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</w:t>
      </w:r>
      <w:r>
        <w:rPr>
          <w:rFonts w:eastAsia="Calibri" w:cs="Times New Roman"/>
          <w:kern w:val="2"/>
          <w:lang w:eastAsia="ru-RU"/>
        </w:rPr>
        <w:t>реагировать на собственное имя;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приветствовать собеседника звуком, привлечь к себе внимания </w:t>
      </w:r>
      <w:r>
        <w:rPr>
          <w:rFonts w:eastAsia="Calibri" w:cs="Times New Roman"/>
          <w:color w:val="000000"/>
          <w:lang w:eastAsia="ru-RU"/>
        </w:rPr>
        <w:t>звуком.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выразить свои желания</w:t>
      </w:r>
      <w:r>
        <w:rPr>
          <w:rFonts w:eastAsia="Calibri" w:cs="Times New Roman"/>
          <w:color w:val="000000"/>
          <w:lang w:eastAsia="ru-RU"/>
        </w:rPr>
        <w:t xml:space="preserve"> звуком;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color w:val="000000"/>
          <w:lang w:eastAsia="ru-RU"/>
        </w:rPr>
        <w:t>умение</w:t>
      </w:r>
      <w:r>
        <w:rPr>
          <w:rFonts w:eastAsia="Calibri" w:cs="Times New Roman"/>
          <w:lang w:eastAsia="ru-RU"/>
        </w:rPr>
        <w:t xml:space="preserve"> обратиться  с просьбой о помощи, выражая её звуком.</w:t>
      </w:r>
      <w:r>
        <w:rPr>
          <w:rFonts w:eastAsia="Calibri" w:cs="Times New Roman"/>
          <w:color w:val="000000"/>
          <w:lang w:eastAsia="ru-RU"/>
        </w:rPr>
        <w:t>.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color w:val="000000"/>
          <w:lang w:eastAsia="ru-RU"/>
        </w:rPr>
        <w:t>умение</w:t>
      </w:r>
      <w:r>
        <w:rPr>
          <w:rFonts w:eastAsia="Calibri" w:cs="Times New Roman"/>
          <w:lang w:eastAsia="ru-RU"/>
        </w:rPr>
        <w:t xml:space="preserve"> выразить согласие (несогласия) звуком;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выразить  благодарности звуком;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Коммуникация с использованием невербальных средств.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указывать взглядом на объект при выражении своих желаний, ответе на вопрос. </w:t>
      </w:r>
    </w:p>
    <w:p>
      <w:pPr>
        <w:pStyle w:val="Normal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выражение мимикой согласия (несогласия), удовольствия (неудовольствия); приветствие (прощание) с использованием мимики</w:t>
      </w:r>
    </w:p>
    <w:p>
      <w:pPr>
        <w:pStyle w:val="Normal"/>
        <w:shd w:val="clear" w:color="auto" w:fill="FFFFFF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pacing w:val="-2"/>
          <w:sz w:val="20"/>
          <w:szCs w:val="20"/>
        </w:rPr>
      </w:pPr>
      <w:r>
        <w:rPr>
          <w:rFonts w:cs="Times New Roman"/>
          <w:b/>
          <w:spacing w:val="-2"/>
          <w:sz w:val="20"/>
          <w:szCs w:val="20"/>
        </w:rPr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/>
          <w:b/>
        </w:rPr>
        <w:t xml:space="preserve">Содержание </w:t>
      </w:r>
      <w:r>
        <w:rPr>
          <w:rFonts w:cs="Times New Roman"/>
          <w:b/>
          <w:bCs/>
        </w:rPr>
        <w:t xml:space="preserve">учебного предмета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Введение. Беседа о содержании и значении предмета «Человек».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Уметь представлять себя как «Я», осознание общности и различий «Я» от других. Я и моя семья.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Состав семьи обучающейся (Степень родства мать, отец, брат, бабушка, дедушка).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Место жительства. Имя, фамилия обучающейся,  возраст. Имена, отчества, фамилии близких родственников.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Нормы поведения ребенка в повседневной жизни.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Правила культуры поведения: умение выслушать речь взрослого.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Правила культуры поведения: умение обратиться с вопросом, сообщением, передать просьбу.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Правила культуры поведения: умение благодарить за помощь, за услугу.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Одежда и обувь. Виды одежды, обуви и головных уборов.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Приемы одевания.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Значение одежды, обуви и головных уборов для сохранения здоровья человека.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Одежда и обувь.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Развешивание и раскладывание на полках в шкафу.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Одежда и обувь.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Различие одежды для дома, рабочей и праздничной.</w:t>
        <w:tab/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Питание. Продукты питания.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Разнообразие продуктов питания.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Значение правильного питания для поддержания и укрепления здоровья.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Приём пищи.  Виды жидкостей для питья: чай, компот, какао, сок.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Хранение продуктов питания и пищи.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Обобщающий урок по теме: Питание. Продукты питания.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Личная гигиена. Её назначение для человека.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Предметы личной гигиены.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Правила выполнения утреннего и вечернего туалета. Режим дня.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Воспитательная работа на уроках предмета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  <w:b/>
        </w:rPr>
        <w:t xml:space="preserve">- </w:t>
      </w:r>
      <w:r>
        <w:rPr>
          <w:rFonts w:cs="Times New Roman"/>
        </w:rPr>
        <w:t>санитарно-гигиеническое воспитание учащегося;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воспитание самостоятельности учащегося;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воспитание продуманности своих действий и поведений;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формирование культуры общения и коммуникативных навыков учащегося;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формирование уважительного отношения к окружающим;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формирование ответственного отношения к природе во всех видах деятельности;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 формирование личностных позитивных качеств школьника.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КАЛЕНДАРНО - ТЕМАТИЧЕСКОЕ ПЛАНИРОВАНИЕ ПО УЧЕБНОМУ ПРЕДМЕТУ «ЧЕЛОВЕК»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26"/>
        <w:gridCol w:w="893"/>
        <w:gridCol w:w="13"/>
        <w:gridCol w:w="9"/>
        <w:gridCol w:w="14"/>
        <w:gridCol w:w="359"/>
        <w:gridCol w:w="4"/>
        <w:gridCol w:w="6"/>
        <w:gridCol w:w="385"/>
        <w:gridCol w:w="42"/>
        <w:gridCol w:w="22"/>
        <w:gridCol w:w="1043"/>
        <w:gridCol w:w="23"/>
        <w:gridCol w:w="24"/>
        <w:gridCol w:w="878"/>
        <w:gridCol w:w="144"/>
        <w:gridCol w:w="997"/>
        <w:gridCol w:w="17"/>
        <w:gridCol w:w="16"/>
        <w:gridCol w:w="864"/>
        <w:gridCol w:w="32"/>
        <w:gridCol w:w="1044"/>
        <w:gridCol w:w="14"/>
        <w:gridCol w:w="927"/>
        <w:gridCol w:w="1"/>
        <w:gridCol w:w="928"/>
        <w:gridCol w:w="926"/>
        <w:gridCol w:w="931"/>
        <w:gridCol w:w="928"/>
        <w:gridCol w:w="926"/>
        <w:gridCol w:w="927"/>
        <w:gridCol w:w="903"/>
      </w:tblGrid>
      <w:tr>
        <w:trPr>
          <w:trHeight w:val="46" w:hRule="atLeast"/>
        </w:trPr>
        <w:tc>
          <w:tcPr>
            <w:tcW w:w="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№ </w:t>
            </w:r>
            <w:r>
              <w:rPr>
                <w:rFonts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9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8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0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Академический компонент</w:t>
            </w:r>
          </w:p>
        </w:tc>
        <w:tc>
          <w:tcPr>
            <w:tcW w:w="40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90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386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433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4" w:hRule="atLeast"/>
        </w:trPr>
        <w:tc>
          <w:tcPr>
            <w:tcW w:w="715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b/>
                <w:sz w:val="20"/>
                <w:szCs w:val="20"/>
                <w:shd w:fill="FFFFFF" w:val="clear"/>
              </w:rPr>
              <w:t>1 триместр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839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Введение. Беседа о содержании и значении предмета «Человек»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5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Я и моя семья.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представлять себя как «Я», осознание общности и различий «Я» от других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представление о себе как «Я», осознание общности и различий «Я» от других.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4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Состав семьи обучающихся (Степень родства мать, отец, брат, бабушка, дедушка).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представлять себя как «Я», осознание общности и различий «Я» от других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представление о себе как «Я», осознание общности и различий «Я» от других.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Место жительства.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сообщать о себе: своё имя, фамилию, полсведения о месте жительства.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Имя, фамилия,  возраст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сообщать о себе: своё имя, фамилию, полсведения о месте жительства.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Имена, отчества, фамилии близких родственников.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сообщать о себе: своё имя, фамилию, полсведения о месте жительства.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Взаимоотношения в семье.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личных взаимоотношениях  в семье.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обратиться с вопросом, сообщением, передать просьбу.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обратиться с вопросом, сообщением, передать просьбу.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Нормы поведения ребенка в повседневной жизни.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выслушать речь взрослого.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спать).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 в повседневной жизни.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выслушать речь взрослого.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выслушать речь взрослого.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спать).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 в повседневной жизни.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благодарить за помощь.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благодарить за помощь, за услугу.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благодарить за услугу.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благодарить за помощь, за услугу.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385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Одежда и обувь.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одежде и обуви.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89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одежды, обуви и головных уборов.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видах  одежды,  обуви, и головных уборов.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делать предварительный отбор источников информации: ориентироваться в учебнике.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Совершенствование навыков самообслуживания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74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Повторение изученного материала за 1 триместр.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715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«Представления о себе»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«Представления о себе»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«Я – человек».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«Моё имя»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«Моё имя»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«Кто я?»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«Представления о себе»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«Все люди разные»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представлять себя как «Я», осознание общности и различий «Я» от других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представление о себе как «Я», осознание общности и различий «Я» от других.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«Представления о частях тела»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</w: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Приемы одевания.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пользоваться приёмами одевания.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sz w:val="20"/>
                <w:szCs w:val="20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следить за своим внешним видом(смотреть в зеркало, видеть недостатки, устранять их)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Значение одежды, обуви и головных уборов для сохранения здоровья человека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значении одежды,  обуви и головных уборов для сохранения здоровья человека.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обратиться  с просьбой о помощи, выражая её звуком.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Умение следить за своим внешним видом.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81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Значение обуви и головных уборов для сохранения здоровья человека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значении одежды,  обуви и головных уборов для сохранения здоровья человека.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обратиться  с просьбой о помощи, выражая её звуком.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Умение следить за своим внешним видом.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Одежда и обувь.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развешивания и раскладывания одежды и обуви  на полках в шкафу при помощи взрослых.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Формирование умения</w:t>
            </w:r>
            <w:r>
              <w:rPr>
                <w:rFonts w:cs="Times New Roman"/>
                <w:sz w:val="20"/>
                <w:szCs w:val="20"/>
              </w:rPr>
              <w:t xml:space="preserve"> обратиться  с просьбой о помощи, выражая её звуком</w:t>
            </w:r>
            <w:r>
              <w:rPr>
                <w:rFonts w:cs="Times New Roman"/>
                <w:color w:val="000000"/>
                <w:sz w:val="20"/>
                <w:szCs w:val="20"/>
              </w:rPr>
              <w:t>, у</w:t>
            </w:r>
            <w:r>
              <w:rPr>
                <w:rFonts w:cs="Times New Roman"/>
                <w:sz w:val="20"/>
                <w:szCs w:val="20"/>
              </w:rPr>
              <w:t>мение обслуживать себя: одеваться и раздеваться и др.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Развешивание и раскладывание на полках в шкафу.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развешивания и раскладывания одежды и обуви  на полках в шкафу при помощи взрослых.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Формирование умения</w:t>
            </w:r>
            <w:r>
              <w:rPr>
                <w:rFonts w:cs="Times New Roman"/>
                <w:sz w:val="20"/>
                <w:szCs w:val="20"/>
              </w:rPr>
              <w:t xml:space="preserve"> обратиться  с просьбой о помощи, выражая её звуком</w:t>
            </w:r>
            <w:r>
              <w:rPr>
                <w:rFonts w:cs="Times New Roman"/>
                <w:color w:val="000000"/>
                <w:sz w:val="20"/>
                <w:szCs w:val="20"/>
              </w:rPr>
              <w:t>, у</w:t>
            </w:r>
            <w:r>
              <w:rPr>
                <w:rFonts w:cs="Times New Roman"/>
                <w:sz w:val="20"/>
                <w:szCs w:val="20"/>
              </w:rPr>
              <w:t>мение обслуживать себя: одеваться и раздеваться и др.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84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Различие одежды для дома, рабочей и праздничной.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различных видах одежды: для дома, рабочей и праздничной.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снимать и одевать нижнее бельё (после посещения туалета, натягивать колготки, лосины, заправлять футболку)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урок.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личности.</w:t>
            </w:r>
          </w:p>
        </w:tc>
        <w:tc>
          <w:tcPr>
            <w:tcW w:w="1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9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15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Питание. Продукты питания.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питания:   хлеб,  крупяные,  мучные изделия;  молоко и  молочные продукты; сахар, соль; овощи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различать  основные  продукты   питания:   хлеб,  крупяные,  мучные изделия;  молоко и  молочные продукты;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1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Разнообразие продуктов питания.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311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Значение правильного питания для поддержания и укрепления здоровья.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81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Приём пищи</w:t>
            </w:r>
          </w:p>
        </w:tc>
        <w:tc>
          <w:tcPr>
            <w:tcW w:w="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1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87" w:hRule="atLeast"/>
        </w:trPr>
        <w:tc>
          <w:tcPr>
            <w:tcW w:w="716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 триместр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608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83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чай.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4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компот.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4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какао.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7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сок.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Хранение продуктов питания и пищи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санитарно-гигиенических требований при хранение продуктов питания и пищи.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 о санитарно-гигиенических требованиях при хранение продуктов питания и пищи.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42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 по теме: Питание.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32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 по теме: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Продукты питания.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Личная гигиена.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перерабатывать полученную информацию</w:t>
            </w:r>
            <w:r>
              <w:rPr>
                <w:rFonts w:cs="Times New Roman"/>
                <w:sz w:val="20"/>
                <w:szCs w:val="20"/>
              </w:rPr>
              <w:t xml:space="preserve"> для получения необходимого результата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обратиться  с просьбой о помощи, выражая её звуком.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6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Личная гигиена на ночь.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3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Её назначение для человека.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99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Предметы личной гигиены.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выполнения утреннего и вечернего туалета.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соблюдении правил личной гигиены..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Формирование умения  соблюдать гигиенические правила по уходу за собственным телом (выдавливать зубную пасту на щетку, чистить зубы, причесывать волосы)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Режим дня.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режим дня.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положительный настрой на выполнение элементарных заданий при соблюдении режима дня.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«Мои руки». «Уход за руками»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«Мои ноги».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«Уход за ногами»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«Мой рот и язычок».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«Уход за полостью рта»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«Мои зубки».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«Уход за зубами»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«Мои глаза». «Уход за глазами»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Обобщение пройденного материала.</w:t>
            </w:r>
          </w:p>
        </w:tc>
        <w:tc>
          <w:tcPr>
            <w:tcW w:w="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использовать приобретённые умения в повседневной жизни.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положительный настрой на выполнение элементарных заданий, чувство радости самостоятельности совместных действий.</w:t>
            </w:r>
          </w:p>
        </w:tc>
        <w:tc>
          <w:tcPr>
            <w:tcW w:w="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себе о ближайшем социальном окружении (Я на игровой площадке, Я в дома).</w:t>
            </w:r>
          </w:p>
        </w:tc>
        <w:tc>
          <w:tcPr>
            <w:tcW w:w="928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27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</w:r>
    </w:p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/>
          <w:b/>
          <w:lang w:eastAsia="ru-RU"/>
        </w:rPr>
      </w:r>
    </w:p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/>
          <w:b/>
          <w:lang w:eastAsia="ru-RU"/>
        </w:rPr>
      </w:r>
    </w:p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/>
          <w:b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636" w:leader="none"/>
        </w:tabs>
        <w:spacing w:before="197" w:after="0"/>
        <w:ind w:left="0" w:right="412" w:hanging="0"/>
        <w:contextualSpacing/>
        <w:rPr>
          <w:lang w:eastAsia="en-US"/>
        </w:rPr>
      </w:pPr>
      <w:r>
        <w:rPr>
          <w:lang w:eastAsia="en-US"/>
        </w:rPr>
        <w:t>картины,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наглядные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пособия;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-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предметов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различной̆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формы,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величины,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цвета;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9" w:leader="none"/>
          <w:tab w:val="left" w:pos="5050" w:leader="none"/>
          <w:tab w:val="left" w:pos="5404" w:leader="none"/>
          <w:tab w:val="left" w:pos="7509" w:leader="none"/>
        </w:tabs>
        <w:spacing w:before="201" w:after="0"/>
        <w:ind w:left="399" w:right="409" w:hanging="231"/>
        <w:contextualSpacing/>
        <w:rPr>
          <w:lang w:eastAsia="en-US"/>
        </w:rPr>
      </w:pPr>
      <w:r>
        <w:rPr>
          <w:lang w:eastAsia="en-US"/>
        </w:rPr>
        <w:t>граф.схемы,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таблицы-пиктограммы</w:t>
        <w:tab/>
        <w:t>с</w:t>
        <w:tab/>
        <w:t>изображениями</w:t>
        <w:tab/>
        <w:t>занятий, моментов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и др.</w:t>
      </w:r>
      <w:r>
        <w:rPr>
          <w:spacing w:val="4"/>
          <w:lang w:eastAsia="en-US"/>
        </w:rPr>
        <w:t xml:space="preserve"> </w:t>
      </w:r>
      <w:r>
        <w:rPr>
          <w:lang w:eastAsia="en-US"/>
        </w:rPr>
        <w:t>событий;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невербальные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общения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(жест,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мимика,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голос);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</w:tabs>
        <w:spacing w:before="202" w:after="0"/>
        <w:ind w:left="563" w:hanging="165"/>
        <w:contextualSpacing/>
        <w:rPr>
          <w:lang w:eastAsia="en-US"/>
        </w:rPr>
      </w:pPr>
      <w:r>
        <w:rPr>
          <w:lang w:eastAsia="en-US"/>
        </w:rPr>
        <w:t>электронные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презентации;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</w:tabs>
        <w:spacing w:before="196" w:after="0"/>
        <w:ind w:left="563" w:hanging="165"/>
        <w:contextualSpacing/>
        <w:rPr>
          <w:lang w:eastAsia="en-US"/>
        </w:rPr>
      </w:pPr>
      <w:r>
        <w:rPr>
          <w:lang w:eastAsia="en-US"/>
        </w:rPr>
        <w:t>дидактическе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игры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лексическим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темам;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</w:tabs>
        <w:spacing w:before="202" w:after="0"/>
        <w:ind w:left="563" w:hanging="165"/>
        <w:contextualSpacing/>
        <w:rPr>
          <w:lang w:eastAsia="en-US"/>
        </w:rPr>
      </w:pPr>
      <w:r>
        <w:rPr>
          <w:lang w:eastAsia="en-US"/>
        </w:rPr>
        <w:t>шнуровки,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липучки;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посуда-вставления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(стаканчики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одинаковой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величины);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столовые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приборы;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</w:tabs>
        <w:spacing w:before="197" w:after="0"/>
        <w:ind w:left="563" w:hanging="165"/>
        <w:contextualSpacing/>
        <w:rPr>
          <w:lang w:eastAsia="en-US"/>
        </w:rPr>
      </w:pPr>
      <w:r>
        <w:rPr>
          <w:lang w:eastAsia="en-US"/>
        </w:rPr>
        <w:t>пазлы,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лото,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разрезные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картинки;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93" w:leader="none"/>
          <w:tab w:val="left" w:pos="2058" w:leader="none"/>
          <w:tab w:val="left" w:pos="2767" w:leader="none"/>
          <w:tab w:val="left" w:pos="4618" w:leader="none"/>
          <w:tab w:val="left" w:pos="5188" w:leader="none"/>
        </w:tabs>
        <w:spacing w:before="201" w:after="0"/>
        <w:ind w:left="399" w:right="420" w:hanging="231"/>
        <w:contextualSpacing/>
        <w:rPr>
          <w:lang w:eastAsia="en-US"/>
        </w:rPr>
      </w:pPr>
      <w:r>
        <w:rPr>
          <w:lang w:eastAsia="en-US"/>
        </w:rPr>
        <w:t>предметы</w:t>
        <w:tab/>
        <w:t>для</w:t>
        <w:tab/>
        <w:t>нанизывания</w:t>
        <w:tab/>
        <w:t>на</w:t>
        <w:tab/>
        <w:t>стержень,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шнур,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нить</w:t>
      </w:r>
      <w:r>
        <w:rPr>
          <w:spacing w:val="22"/>
          <w:lang w:eastAsia="en-US"/>
        </w:rPr>
        <w:t xml:space="preserve"> </w:t>
      </w:r>
      <w:r>
        <w:rPr>
          <w:lang w:eastAsia="en-US"/>
        </w:rPr>
        <w:t>(кольца,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шары,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бусины);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  <w:tab w:val="left" w:pos="1910" w:leader="none"/>
          <w:tab w:val="left" w:pos="3290" w:leader="none"/>
          <w:tab w:val="left" w:pos="3914" w:leader="none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звучащие</w:t>
        <w:tab/>
        <w:t>предметы</w:t>
        <w:tab/>
        <w:t>для</w:t>
        <w:tab/>
        <w:t>встряхивания;</w:t>
      </w:r>
    </w:p>
    <w:p>
      <w:pPr>
        <w:pStyle w:val="Normal"/>
        <w:widowControl w:val="false"/>
        <w:spacing w:before="8" w:after="0"/>
        <w:contextualSpacing/>
        <w:rPr>
          <w:lang w:eastAsia="en-US"/>
        </w:rPr>
      </w:pPr>
      <w:r>
        <w:rPr>
          <w:lang w:eastAsia="en-US"/>
        </w:rPr>
      </w:r>
    </w:p>
    <w:tbl>
      <w:tblPr>
        <w:tblStyle w:val="TableNormal"/>
        <w:tblW w:w="9450" w:type="dxa"/>
        <w:jc w:val="left"/>
        <w:tblInd w:w="3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0" w:val="01e0" w:noHBand="0" w:lastColumn="1" w:firstColumn="1" w:lastRow="1" w:firstRow="1"/>
      </w:tblPr>
      <w:tblGrid>
        <w:gridCol w:w="1784"/>
        <w:gridCol w:w="3626"/>
        <w:gridCol w:w="1464"/>
        <w:gridCol w:w="2575"/>
      </w:tblGrid>
      <w:tr>
        <w:trPr>
          <w:trHeight w:val="315" w:hRule="atLeast"/>
        </w:trPr>
        <w:tc>
          <w:tcPr>
            <w:tcW w:w="17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58" w:leader="none"/>
              </w:tabs>
              <w:suppressAutoHyphens w:val="true"/>
              <w:spacing w:before="0" w:after="0"/>
              <w:ind w:left="50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-</w:t>
              <w:tab/>
              <w:t>предметы</w:t>
            </w:r>
          </w:p>
        </w:tc>
        <w:tc>
          <w:tcPr>
            <w:tcW w:w="362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00" w:leader="none"/>
              </w:tabs>
              <w:suppressAutoHyphens w:val="true"/>
              <w:spacing w:before="0" w:after="0"/>
              <w:ind w:left="313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для</w:t>
              <w:tab/>
              <w:t>сжимания</w:t>
            </w:r>
            <w:r>
              <w:rPr>
                <w:spacing w:val="1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(мячи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74" w:right="106" w:hanging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различной̆</w:t>
            </w:r>
          </w:p>
        </w:tc>
        <w:tc>
          <w:tcPr>
            <w:tcW w:w="25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47" w:hanging="0"/>
              <w:contextualSpacing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фактуры,</w:t>
            </w:r>
            <w:r>
              <w:rPr>
                <w:spacing w:val="14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разного</w:t>
            </w:r>
          </w:p>
        </w:tc>
      </w:tr>
      <w:tr>
        <w:trPr>
          <w:trHeight w:val="420" w:hRule="atLeast"/>
        </w:trPr>
        <w:tc>
          <w:tcPr>
            <w:tcW w:w="17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50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диаметра);</w:t>
            </w:r>
          </w:p>
        </w:tc>
        <w:tc>
          <w:tcPr>
            <w:tcW w:w="36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  <w:tc>
          <w:tcPr>
            <w:tcW w:w="25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</w:tr>
      <w:tr>
        <w:trPr>
          <w:trHeight w:val="739" w:hRule="atLeast"/>
        </w:trPr>
        <w:tc>
          <w:tcPr>
            <w:tcW w:w="1784" w:type="dxa"/>
            <w:tcBorders/>
          </w:tcPr>
          <w:p>
            <w:pPr>
              <w:pStyle w:val="Normal"/>
              <w:widowControl w:val="false"/>
              <w:suppressAutoHyphens w:val="true"/>
              <w:spacing w:before="76" w:after="0"/>
              <w:ind w:left="50" w:right="148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-</w:t>
            </w:r>
            <w:r>
              <w:rPr>
                <w:spacing w:val="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различные</w:t>
            </w:r>
            <w:r>
              <w:rPr>
                <w:spacing w:val="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eastAsia="en-US" w:bidi="ar-SA"/>
              </w:rPr>
              <w:t>природного);</w:t>
            </w:r>
          </w:p>
        </w:tc>
        <w:tc>
          <w:tcPr>
            <w:tcW w:w="3626" w:type="dxa"/>
            <w:tcBorders/>
          </w:tcPr>
          <w:p>
            <w:pPr>
              <w:pStyle w:val="Normal"/>
              <w:widowControl w:val="false"/>
              <w:suppressAutoHyphens w:val="true"/>
              <w:spacing w:before="91" w:after="0"/>
              <w:ind w:left="161" w:hanging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spacing w:val="59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форме,</w:t>
            </w:r>
            <w:r>
              <w:rPr>
                <w:spacing w:val="63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величине,</w:t>
            </w:r>
            <w:r>
              <w:rPr>
                <w:spacing w:val="6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цвету</w:t>
            </w:r>
          </w:p>
        </w:tc>
        <w:tc>
          <w:tcPr>
            <w:tcW w:w="1464" w:type="dxa"/>
            <w:tcBorders/>
          </w:tcPr>
          <w:p>
            <w:pPr>
              <w:pStyle w:val="Normal"/>
              <w:widowControl w:val="false"/>
              <w:suppressAutoHyphens w:val="true"/>
              <w:spacing w:before="91" w:after="0"/>
              <w:ind w:left="74" w:right="41" w:hanging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наборы</w:t>
            </w:r>
          </w:p>
        </w:tc>
        <w:tc>
          <w:tcPr>
            <w:tcW w:w="2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uppressAutoHyphens w:val="true"/>
              <w:spacing w:before="91" w:after="0"/>
              <w:ind w:right="59" w:hanging="0"/>
              <w:contextualSpacing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материала</w:t>
            </w:r>
            <w:r>
              <w:rPr>
                <w:spacing w:val="6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(в</w:t>
              <w:tab/>
              <w:t>т.ч.</w:t>
            </w:r>
          </w:p>
        </w:tc>
      </w:tr>
    </w:tbl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564" w:leader="none"/>
          <w:tab w:val="left" w:pos="1661" w:leader="none"/>
        </w:tabs>
        <w:spacing w:before="198" w:after="0"/>
        <w:ind w:left="563" w:hanging="165"/>
        <w:contextualSpacing/>
        <w:rPr>
          <w:lang w:eastAsia="en-US"/>
        </w:rPr>
      </w:pPr>
      <w:r>
        <w:rPr>
          <w:lang w:eastAsia="en-US"/>
        </w:rPr>
        <w:t>наборы</w:t>
        <w:tab/>
        <w:t>предметов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занятий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(«Нумикон»,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Монтессори-материал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др.).</w:t>
      </w:r>
    </w:p>
    <w:p>
      <w:pPr>
        <w:pStyle w:val="Normal"/>
        <w:widowControl w:val="false"/>
        <w:spacing w:before="0" w:after="0"/>
        <w:contextualSpacing/>
        <w:rPr>
          <w:lang w:eastAsia="en-US"/>
        </w:rPr>
      </w:pPr>
      <w:r>
        <w:rPr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spacing w:before="222" w:after="0"/>
        <w:ind w:left="399" w:hanging="0"/>
        <w:contextualSpacing/>
        <w:outlineLvl w:val="0"/>
        <w:rPr>
          <w:b/>
          <w:b/>
          <w:bCs/>
          <w:iCs/>
          <w:lang w:eastAsia="en-US"/>
        </w:rPr>
      </w:pPr>
      <w:r>
        <w:rPr>
          <w:b/>
          <w:bCs/>
          <w:i/>
          <w:iCs/>
          <w:lang w:eastAsia="en-US"/>
        </w:rPr>
        <w:t>Материалы</w:t>
      </w:r>
      <w:r>
        <w:rPr>
          <w:b/>
          <w:bCs/>
          <w:i/>
          <w:iCs/>
          <w:spacing w:val="-4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и</w:t>
      </w:r>
      <w:r>
        <w:rPr>
          <w:b/>
          <w:bCs/>
          <w:i/>
          <w:iCs/>
          <w:spacing w:val="-3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оборудование</w:t>
      </w:r>
      <w:r>
        <w:rPr>
          <w:b/>
          <w:bCs/>
          <w:iCs/>
          <w:lang w:eastAsia="en-US"/>
        </w:rPr>
        <w:t>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895" w:leader="none"/>
        </w:tabs>
        <w:spacing w:lineRule="auto" w:line="240" w:before="192" w:after="0"/>
        <w:ind w:left="399" w:right="411" w:hanging="231"/>
        <w:contextualSpacing/>
        <w:jc w:val="both"/>
        <w:rPr>
          <w:lang w:eastAsia="en-US"/>
        </w:rPr>
      </w:pPr>
      <w:r>
        <w:rPr>
          <w:lang w:eastAsia="en-US"/>
        </w:rPr>
        <w:t>технические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обучения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(включая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специализированные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компьютерные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инструменты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обучения,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мультимедийные средства)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636" w:leader="none"/>
        </w:tabs>
        <w:spacing w:before="195" w:after="0"/>
        <w:ind w:left="635" w:hanging="165"/>
        <w:contextualSpacing/>
        <w:jc w:val="both"/>
        <w:rPr>
          <w:lang w:eastAsia="en-US"/>
        </w:rPr>
      </w:pPr>
      <w:r>
        <w:rPr>
          <w:lang w:eastAsia="en-US"/>
        </w:rPr>
        <w:t>учебные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столы;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641" w:leader="none"/>
        </w:tabs>
        <w:spacing w:before="201" w:after="0"/>
        <w:ind w:left="399" w:right="417" w:hanging="231"/>
        <w:contextualSpacing/>
        <w:jc w:val="both"/>
        <w:rPr>
          <w:lang w:eastAsia="en-US"/>
        </w:rPr>
      </w:pPr>
      <w:r>
        <w:rPr>
          <w:lang w:eastAsia="en-US"/>
        </w:rPr>
        <w:t>доска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большая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универсальная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возможностью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магнитного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крепления);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Предметные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сюжетные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картинки,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фотографии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членов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семьи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ребенка;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видеозаписи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правил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поведения,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операций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самообслуживания,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используемых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при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этом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предметов.</w:t>
      </w:r>
    </w:p>
    <w:p>
      <w:pPr>
        <w:pStyle w:val="ListParagraph"/>
        <w:numPr>
          <w:ilvl w:val="0"/>
          <w:numId w:val="34"/>
        </w:numPr>
        <w:spacing w:lineRule="auto" w:line="24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Система оценки достижения обучающимися с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нарушением интеллекта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планируемых предметных ре</w:t>
        <w:softHyphen/>
        <w:t>зуль</w:t>
        <w:softHyphen/>
        <w:t>та</w:t>
        <w:softHyphen/>
        <w:t>тов освоения адаптированной образовательной программы по учебному предмету.</w:t>
      </w:r>
    </w:p>
    <w:p>
      <w:pPr>
        <w:pStyle w:val="Normal"/>
        <w:spacing w:before="0" w:after="0"/>
        <w:contextualSpacing/>
        <w:jc w:val="both"/>
        <w:rPr>
          <w:rFonts w:eastAsia="Calibri" w:eastAsiaTheme="minorHAnsi"/>
          <w:bCs/>
          <w:color w:val="000000"/>
          <w:lang w:eastAsia="en-US"/>
        </w:rPr>
      </w:pPr>
      <w:r>
        <w:rPr>
          <w:rFonts w:eastAsia="Calibri" w:eastAsiaTheme="minorHAnsi"/>
          <w:bCs/>
          <w:color w:val="000000"/>
          <w:lang w:eastAsia="en-US"/>
        </w:rPr>
      </w:r>
    </w:p>
    <w:p>
      <w:pPr>
        <w:pStyle w:val="Normal"/>
        <w:spacing w:before="0" w:after="0"/>
        <w:contextualSpacing/>
        <w:rPr>
          <w:b/>
          <w:b/>
        </w:rPr>
      </w:pP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Содержание мониторинга достижений</w:t>
      </w:r>
      <w:r>
        <w:rPr>
          <w:b/>
        </w:rPr>
        <w:t xml:space="preserve"> планируемых предметных ре</w:t>
        <w:softHyphen/>
        <w:t>зуль</w:t>
        <w:softHyphen/>
        <w:t>та</w:t>
        <w:softHyphen/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>
      <w:pPr>
        <w:pStyle w:val="Normal"/>
        <w:spacing w:before="0" w:after="0"/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rPr/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i/>
        </w:rPr>
        <w:t>Текущая</w:t>
      </w:r>
      <w:r>
        <w:rPr/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i/>
        </w:rPr>
        <w:t>Годовая</w:t>
      </w:r>
      <w:r>
        <w:rPr/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  <w:softHyphen/>
        <w:t>жит анализ результатов обучения ребёнка, динамика развития его личности.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i/>
        </w:rPr>
        <w:t>Ре</w:t>
        <w:softHyphen/>
        <w:t>зультаты анализа</w:t>
      </w:r>
      <w:r>
        <w:rPr/>
        <w:t xml:space="preserve">   представляютсяв таблице овладения  обучающимися программой  по учебному предмету.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/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>
      <w:pPr>
        <w:pStyle w:val="Normal"/>
        <w:spacing w:before="0" w:after="0"/>
        <w:ind w:firstLine="708"/>
        <w:contextualSpacing/>
        <w:jc w:val="both"/>
        <w:rPr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/>
        <w:t xml:space="preserve">. </w:t>
      </w:r>
    </w:p>
    <w:p>
      <w:pPr>
        <w:pStyle w:val="Normal"/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pStyle w:val="Normal"/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  <w:softHyphen/>
        <w:t>зуль</w:t>
        <w:softHyphen/>
        <w:t>таты анализа представлены в форме удобных и понятных всем  условных единицах:</w:t>
      </w:r>
    </w:p>
    <w:p>
      <w:pPr>
        <w:pStyle w:val="Normal"/>
        <w:spacing w:before="0" w:after="0"/>
        <w:ind w:firstLine="708"/>
        <w:contextualSpacing/>
        <w:rPr>
          <w:b/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29"/>
        <w:gridCol w:w="9392"/>
        <w:gridCol w:w="4549"/>
      </w:tblGrid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5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6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7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0"/>
              </w:numPr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76" w:before="0" w:after="0"/>
              <w:contextualSpacing/>
              <w:rPr>
                <w:rFonts w:eastAsia="Calibri"/>
                <w:b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rFonts w:eastAsia="Calibri"/>
          <w:b/>
          <w:b/>
          <w:color w:val="404040" w:themeColor="text1" w:themeTint="bf"/>
        </w:rPr>
      </w:pPr>
      <w:r>
        <w:rPr>
          <w:rFonts w:eastAsia="Calibri"/>
          <w:b/>
          <w:bCs/>
          <w:color w:val="404040" w:themeColor="text1" w:themeTint="bf"/>
        </w:rPr>
        <w:t xml:space="preserve">                               </w:t>
      </w:r>
      <w:r>
        <w:rPr>
          <w:rFonts w:eastAsia="Calibri"/>
          <w:b/>
          <w:bCs/>
          <w:color w:val="404040" w:themeColor="text1" w:themeTint="bf"/>
        </w:rPr>
        <w:t xml:space="preserve">Содержание мониторинга </w:t>
      </w:r>
      <w:r>
        <w:rPr>
          <w:rFonts w:eastAsia="Calibri"/>
          <w:b/>
          <w:color w:val="404040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Система оценки сформированности базовых учебных действий: 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pStyle w:val="Normal"/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 xml:space="preserve">5 баллов ― самостоятельно применяет действие в любой ситуации. </w:t>
      </w:r>
    </w:p>
    <w:p>
      <w:pPr>
        <w:pStyle w:val="Normal"/>
        <w:numPr>
          <w:ilvl w:val="0"/>
          <w:numId w:val="8"/>
        </w:numPr>
        <w:spacing w:before="0" w:after="0"/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pStyle w:val="Normal"/>
        <w:numPr>
          <w:ilvl w:val="0"/>
          <w:numId w:val="8"/>
        </w:numPr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color w:val="404040" w:themeColor="text1" w:themeTint="bf"/>
        </w:rPr>
        <w:t>Результаты оценки сформированности базовых учебных действий за</w:t>
        <w:softHyphen/>
        <w:t>но</w:t>
        <w:softHyphen/>
        <w:t>сят</w:t>
        <w:softHyphen/>
        <w:t>ся в индивидуальную карту развития обучающегося.</w:t>
      </w:r>
    </w:p>
    <w:p>
      <w:pPr>
        <w:pStyle w:val="Normal"/>
        <w:numPr>
          <w:ilvl w:val="0"/>
          <w:numId w:val="8"/>
        </w:numPr>
        <w:spacing w:before="0" w:after="0"/>
        <w:contextualSpacing/>
        <w:jc w:val="both"/>
        <w:rPr>
          <w:rFonts w:eastAsia="Calibri"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pStyle w:val="Normal"/>
        <w:numPr>
          <w:ilvl w:val="0"/>
          <w:numId w:val="8"/>
        </w:numPr>
        <w:spacing w:before="0" w:after="0"/>
        <w:contextualSpacing/>
        <w:jc w:val="both"/>
        <w:rPr>
          <w:rFonts w:eastAsia="Calibri"/>
          <w:bCs/>
          <w:color w:val="404040" w:themeColor="text1" w:themeTint="bf"/>
        </w:rPr>
      </w:pPr>
      <w:r>
        <w:rPr>
          <w:rFonts w:eastAsia="Calibri"/>
          <w:bCs/>
          <w:color w:val="404040" w:themeColor="text1" w:themeTint="bf"/>
        </w:rPr>
        <w:t>В соответствующие графы вписываются цифры от 0 до 5.</w:t>
      </w:r>
    </w:p>
    <w:p>
      <w:pPr>
        <w:pStyle w:val="Normal"/>
        <w:spacing w:before="0" w:after="0"/>
        <w:contextualSpacing/>
        <w:jc w:val="both"/>
        <w:rPr>
          <w:rFonts w:eastAsia="Calibri"/>
          <w:i/>
          <w:i/>
          <w:color w:val="404040" w:themeColor="text1" w:themeTint="bf"/>
        </w:rPr>
      </w:pPr>
      <w:r>
        <w:rPr>
          <w:rFonts w:eastAsia="Calibri"/>
          <w:i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rFonts w:eastAsia="Calibri"/>
          <w:i/>
          <w:i/>
          <w:color w:val="404040" w:themeColor="text1" w:themeTint="bf"/>
        </w:rPr>
      </w:pPr>
      <w:r>
        <w:rPr>
          <w:rFonts w:eastAsia="Calibri"/>
          <w:i/>
          <w:color w:val="404040" w:themeColor="text1" w:themeTint="bf"/>
        </w:rPr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  <w:t xml:space="preserve">                                                            </w:t>
      </w:r>
      <w:r>
        <w:rPr>
          <w:b/>
        </w:rPr>
        <w:t xml:space="preserve">Критерии и нормы оценки знаний обучающихся. </w:t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  <w:t xml:space="preserve">                                                                  </w:t>
      </w:r>
      <w:r>
        <w:rPr>
          <w:b/>
        </w:rPr>
        <w:t>Оценивание устного ответа обучающихся.</w:t>
      </w:r>
    </w:p>
    <w:p>
      <w:pPr>
        <w:pStyle w:val="Normal"/>
        <w:spacing w:before="0" w:after="0"/>
        <w:ind w:firstLine="708"/>
        <w:contextualSpacing/>
        <w:rPr/>
      </w:pPr>
      <w:r>
        <w:rPr/>
        <w:t>В  классах для обучающихся с умеренной умственной отсталостью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pStyle w:val="Normal"/>
        <w:numPr>
          <w:ilvl w:val="0"/>
          <w:numId w:val="9"/>
        </w:numPr>
        <w:spacing w:before="0" w:after="0"/>
        <w:contextualSpacing/>
        <w:jc w:val="both"/>
        <w:rPr/>
      </w:pPr>
      <w:r>
        <w:rPr/>
        <w:t xml:space="preserve">Символика </w:t>
      </w:r>
      <w:r>
        <w:rPr>
          <w:i/>
        </w:rPr>
        <w:t>«Солнышко улыбается»</w:t>
      </w:r>
      <w:r>
        <w:rPr/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pStyle w:val="Normal"/>
        <w:numPr>
          <w:ilvl w:val="0"/>
          <w:numId w:val="9"/>
        </w:numPr>
        <w:spacing w:before="0" w:after="0"/>
        <w:contextualSpacing/>
        <w:jc w:val="both"/>
        <w:rPr/>
      </w:pPr>
      <w:r>
        <w:rPr/>
        <w:t xml:space="preserve">Символика </w:t>
      </w:r>
      <w:r>
        <w:rPr>
          <w:i/>
        </w:rPr>
        <w:t>«Солнышко задумалось»</w:t>
      </w:r>
      <w:r>
        <w:rPr/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pStyle w:val="Normal"/>
        <w:numPr>
          <w:ilvl w:val="0"/>
          <w:numId w:val="9"/>
        </w:numPr>
        <w:spacing w:before="0" w:after="0"/>
        <w:contextualSpacing/>
        <w:jc w:val="both"/>
        <w:rPr/>
      </w:pPr>
      <w:r>
        <w:rPr/>
        <w:t xml:space="preserve">Символика </w:t>
      </w:r>
      <w:r>
        <w:rPr>
          <w:i/>
        </w:rPr>
        <w:t>«Солнышко грустит»</w:t>
      </w:r>
      <w:r>
        <w:rPr/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>
      <w:pPr>
        <w:pStyle w:val="Normal"/>
        <w:spacing w:before="0" w:after="0"/>
        <w:contextualSpacing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</w:r>
    </w:p>
    <w:tbl>
      <w:tblPr>
        <w:tblStyle w:val="a6"/>
        <w:tblpPr w:vertAnchor="text" w:horzAnchor="margin" w:leftFromText="180" w:rightFromText="180" w:tblpX="0" w:tblpY="-5"/>
        <w:tblW w:w="47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8"/>
        <w:gridCol w:w="9641"/>
        <w:gridCol w:w="1793"/>
        <w:gridCol w:w="1822"/>
      </w:tblGrid>
      <w:tr>
        <w:trPr>
          <w:trHeight w:val="423" w:hRule="atLeast"/>
        </w:trPr>
        <w:tc>
          <w:tcPr>
            <w:tcW w:w="1007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2"/>
                <w:szCs w:val="24"/>
                <w:lang w:eastAsia="en-US"/>
              </w:rPr>
            </w:r>
          </w:p>
        </w:tc>
      </w:tr>
      <w:tr>
        <w:trPr>
          <w:trHeight w:val="564" w:hRule="atLeast"/>
        </w:trPr>
        <w:tc>
          <w:tcPr>
            <w:tcW w:w="4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75" w:leader="none"/>
              </w:tabs>
              <w:suppressAutoHyphens w:val="true"/>
              <w:spacing w:before="0" w:after="0"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</w:r>
          </w:p>
        </w:tc>
      </w:tr>
      <w:tr>
        <w:trPr>
          <w:trHeight w:val="275" w:hRule="atLeast"/>
        </w:trPr>
        <w:tc>
          <w:tcPr>
            <w:tcW w:w="438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9641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rPr/>
        <w:tc>
          <w:tcPr>
            <w:tcW w:w="1007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1007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567"/>
              <w:contextualSpacing/>
              <w:jc w:val="left"/>
              <w:rPr>
                <w:rFonts w:eastAsia="Calibr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4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4"/>
                <w:lang w:eastAsia="en-US"/>
              </w:rPr>
            </w:r>
          </w:p>
        </w:tc>
      </w:tr>
    </w:tbl>
    <w:p>
      <w:pPr>
        <w:pStyle w:val="Normal"/>
        <w:spacing w:before="0" w:after="0"/>
        <w:contextualSpacing/>
        <w:rPr>
          <w:rFonts w:eastAsia="Calibri"/>
          <w:b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  <w:color w:val="0070C0"/>
        </w:rPr>
      </w:pPr>
      <w:r>
        <w:rPr>
          <w:rFonts w:eastAsia="Calibri"/>
          <w:b/>
          <w:color w:val="0070C0"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  <w:color w:val="0070C0"/>
        </w:rPr>
      </w:pPr>
      <w:r>
        <w:rPr>
          <w:rFonts w:eastAsia="Calibri"/>
          <w:b/>
          <w:color w:val="0070C0"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contextualSpacing/>
        <w:rPr>
          <w:rFonts w:eastAsia="Calibri"/>
          <w:b/>
          <w:b/>
        </w:rPr>
      </w:pPr>
      <w:r>
        <w:rPr>
          <w:rFonts w:eastAsia="Calibri"/>
          <w:b/>
        </w:rPr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СВОДНАЯ ТАБЛИЦА </w:t>
      </w:r>
      <w:r>
        <w:rPr>
          <w:rFonts w:eastAsia="Calibri"/>
          <w:b/>
          <w:bCs/>
          <w:sz w:val="20"/>
          <w:szCs w:val="20"/>
        </w:rPr>
        <w:t>РЕЗУЛЬТАТОВ ОСВОЕНИЯ УЧЕБНОГО ПРЕДМЕТА</w:t>
      </w:r>
    </w:p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</w:r>
    </w:p>
    <w:tbl>
      <w:tblPr>
        <w:tblStyle w:val="a6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4"/>
        <w:gridCol w:w="2589"/>
        <w:gridCol w:w="2522"/>
        <w:gridCol w:w="2848"/>
        <w:gridCol w:w="2937"/>
        <w:gridCol w:w="3102"/>
      </w:tblGrid>
      <w:tr>
        <w:trPr/>
        <w:tc>
          <w:tcPr>
            <w:tcW w:w="50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№</w:t>
            </w:r>
          </w:p>
        </w:tc>
        <w:tc>
          <w:tcPr>
            <w:tcW w:w="258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righ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Планируемые результаты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ФИ обучающегося</w:t>
            </w:r>
          </w:p>
        </w:tc>
        <w:tc>
          <w:tcPr>
            <w:tcW w:w="537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Предметные результаты</w:t>
            </w:r>
          </w:p>
        </w:tc>
      </w:tr>
      <w:tr>
        <w:trPr/>
        <w:tc>
          <w:tcPr>
            <w:tcW w:w="504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89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3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54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left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rFonts w:eastAsia="Calibri"/>
                <w:b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0"/>
                <w:lang w:eastAsia="en-US"/>
              </w:rPr>
            </w:r>
          </w:p>
        </w:tc>
      </w:tr>
    </w:tbl>
    <w:p>
      <w:pPr>
        <w:pStyle w:val="Normal"/>
        <w:spacing w:before="0" w:after="0"/>
        <w:ind w:firstLine="567"/>
        <w:contextualSpacing/>
        <w:jc w:val="center"/>
        <w:rPr>
          <w:rFonts w:eastAsia="Calibri"/>
          <w:b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СГ – середина года</w:t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КГ – конец года</w:t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МУ – минимальный уровень</w:t>
      </w:r>
    </w:p>
    <w:p>
      <w:pPr>
        <w:pStyle w:val="Normal"/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ДУ – достаточный уровень</w:t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760" w:hanging="361"/>
      </w:pPr>
      <w:rPr>
        <w:rFonts w:ascii="Symbol" w:hAnsi="Symbol" w:cs="Symbol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00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40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81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21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62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02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2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3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02" w:hanging="303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92" w:hanging="432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96" w:hanging="43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92" w:hanging="43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88" w:hanging="43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84" w:hanging="43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80" w:hanging="43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76" w:hanging="43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72" w:hanging="432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120" w:hanging="360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2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4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120" w:hanging="360"/>
      </w:pPr>
      <w:rPr>
        <w:sz w:val="28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2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37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4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5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399" w:hanging="231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20" w:hanging="360"/>
      </w:pPr>
      <w:rPr>
        <w:rFonts w:ascii="Symbol" w:hAnsi="Symbol" w:cs="Symbol" w:hint="default"/>
        <w:sz w:val="28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2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2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34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39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4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4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5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12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9"/>
    <w:lvlOverride w:ilvl="0">
      <w:startOverride w:val="1"/>
    </w:lvlOverride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9"/>
  </w:num>
  <w:num w:numId="47">
    <w:abstractNumId w:val="19"/>
  </w:num>
  <w:num w:numId="48">
    <w:abstractNumId w:val="26"/>
    <w:lvlOverride w:ilvl="0">
      <w:startOverride w:val="1"/>
    </w:lvlOverride>
  </w:num>
  <w:num w:numId="49">
    <w:abstractNumId w:val="26"/>
  </w:num>
  <w:num w:numId="50">
    <w:abstractNumId w:val="26"/>
  </w:num>
  <w:num w:numId="51">
    <w:abstractNumId w:val="26"/>
  </w:num>
  <w:num w:numId="52">
    <w:abstractNumId w:val="26"/>
  </w:num>
  <w:num w:numId="53">
    <w:abstractNumId w:val="31"/>
    <w:lvlOverride w:ilvl="0">
      <w:startOverride w:val="1"/>
    </w:lvlOverride>
  </w:num>
  <w:num w:numId="54">
    <w:abstractNumId w:val="3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d396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1"/>
    <w:qFormat/>
    <w:rsid w:val="0020348e"/>
    <w:rPr>
      <w:rFonts w:ascii="Times New Roman" w:hAnsi="Times New Roman" w:eastAsia="Times New Roman" w:cs="Times New Roman"/>
      <w:sz w:val="28"/>
      <w:szCs w:val="2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uiPriority w:val="1"/>
    <w:qFormat/>
    <w:rsid w:val="0020348e"/>
    <w:pPr>
      <w:widowControl w:val="false"/>
    </w:pPr>
    <w:rPr>
      <w:sz w:val="28"/>
      <w:szCs w:val="28"/>
      <w:lang w:eastAsia="en-US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d396b"/>
    <w:pPr>
      <w:spacing w:lineRule="auto" w:line="360" w:before="0" w:after="0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20f6a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fd1b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">
    <w:name w:val="Сетка таблицы3"/>
    <w:basedOn w:val="a1"/>
    <w:rsid w:val="00800732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LibreOffice/7.3.6.2$Linux_X86_64 LibreOffice_project/30$Build-2</Application>
  <AppVersion>15.0000</AppVersion>
  <Pages>36</Pages>
  <Words>5949</Words>
  <Characters>42321</Characters>
  <CharactersWithSpaces>48474</CharactersWithSpaces>
  <Paragraphs>712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2022-09-27T09:18:00Z</dcterms:created>
  <dc:creator>ASUS</dc:creator>
  <dc:description/>
  <dc:language>ru-RU</dc:language>
  <cp:lastModifiedBy/>
  <cp:lastPrinted>2022-09-27T14:47:00Z</cp:lastPrinted>
  <dcterms:modified xsi:type="dcterms:W3CDTF">2024-09-17T16:37:23Z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